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FC3F" w14:textId="77777777" w:rsidR="009F5D13" w:rsidRDefault="00633BE6">
      <w:pPr>
        <w:jc w:val="center"/>
        <w:rPr>
          <w:rFonts w:ascii="SimSun" w:hAnsi="SimSun" w:cs="SimSun"/>
          <w:b/>
          <w:bCs/>
          <w:color w:val="FF0000"/>
          <w:sz w:val="36"/>
          <w:szCs w:val="36"/>
        </w:rPr>
      </w:pPr>
      <w:r>
        <w:rPr>
          <w:noProof/>
        </w:rPr>
        <w:drawing>
          <wp:anchor distT="0" distB="0" distL="114300" distR="114300" simplePos="0" relativeHeight="251659264" behindDoc="1" locked="0" layoutInCell="1" allowOverlap="1" wp14:anchorId="74AEBA18" wp14:editId="6E2624C6">
            <wp:simplePos x="0" y="0"/>
            <wp:positionH relativeFrom="column">
              <wp:posOffset>4053840</wp:posOffset>
            </wp:positionH>
            <wp:positionV relativeFrom="paragraph">
              <wp:posOffset>59690</wp:posOffset>
            </wp:positionV>
            <wp:extent cx="2062480" cy="2159635"/>
            <wp:effectExtent l="0" t="0" r="0" b="0"/>
            <wp:wrapNone/>
            <wp:docPr id="209544925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49253"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62480" cy="2159635"/>
                    </a:xfrm>
                    <a:prstGeom prst="rect">
                      <a:avLst/>
                    </a:prstGeom>
                    <a:noFill/>
                    <a:ln>
                      <a:noFill/>
                    </a:ln>
                  </pic:spPr>
                </pic:pic>
              </a:graphicData>
            </a:graphic>
          </wp:anchor>
        </w:drawing>
      </w:r>
      <w:r>
        <w:rPr>
          <w:rFonts w:ascii="SimSun" w:hAnsi="SimSun" w:cs="SimSun" w:hint="eastAsia"/>
          <w:b/>
          <w:bCs/>
          <w:sz w:val="36"/>
          <w:szCs w:val="36"/>
        </w:rPr>
        <w:t xml:space="preserve">ACE </w:t>
      </w:r>
      <w:proofErr w:type="spellStart"/>
      <w:r>
        <w:rPr>
          <w:rFonts w:ascii="SimSun" w:hAnsi="SimSun" w:cs="SimSun" w:hint="eastAsia"/>
          <w:b/>
          <w:bCs/>
          <w:sz w:val="36"/>
          <w:szCs w:val="36"/>
        </w:rPr>
        <w:t>SingleCell</w:t>
      </w:r>
      <w:proofErr w:type="spellEnd"/>
      <w:r>
        <w:rPr>
          <w:rFonts w:ascii="SimSun" w:hAnsi="SimSun" w:cs="SimSun" w:hint="eastAsia"/>
          <w:b/>
          <w:bCs/>
          <w:sz w:val="36"/>
          <w:szCs w:val="36"/>
        </w:rPr>
        <w:t xml:space="preserve"> SFM使用说明书</w:t>
      </w:r>
    </w:p>
    <w:p w14:paraId="1D7F8F49" w14:textId="77777777" w:rsidR="00F074BC" w:rsidRDefault="00F074BC">
      <w:pPr>
        <w:spacing w:line="360" w:lineRule="auto"/>
        <w:jc w:val="left"/>
        <w:rPr>
          <w:rFonts w:ascii="SimSun" w:hAnsi="SimSun" w:cs="SimSun"/>
          <w:szCs w:val="21"/>
        </w:rPr>
      </w:pPr>
    </w:p>
    <w:p w14:paraId="3346B0AA" w14:textId="37499901" w:rsidR="009F5D13" w:rsidRDefault="00633BE6">
      <w:pPr>
        <w:spacing w:line="360" w:lineRule="auto"/>
        <w:jc w:val="left"/>
        <w:rPr>
          <w:szCs w:val="21"/>
        </w:rPr>
      </w:pPr>
      <w:r>
        <w:rPr>
          <w:rFonts w:ascii="SimSun" w:hAnsi="SimSun" w:cs="SimSun" w:hint="eastAsia"/>
          <w:szCs w:val="21"/>
        </w:rPr>
        <w:t>【产品名称】</w:t>
      </w:r>
      <w:r>
        <w:rPr>
          <w:szCs w:val="21"/>
        </w:rPr>
        <w:t>：</w:t>
      </w:r>
      <w:r>
        <w:rPr>
          <w:rFonts w:hint="eastAsia"/>
          <w:szCs w:val="21"/>
        </w:rPr>
        <w:t xml:space="preserve">ACE </w:t>
      </w:r>
      <w:proofErr w:type="spellStart"/>
      <w:r>
        <w:rPr>
          <w:rFonts w:hint="eastAsia"/>
          <w:szCs w:val="21"/>
        </w:rPr>
        <w:t>SingleCell</w:t>
      </w:r>
      <w:proofErr w:type="spellEnd"/>
      <w:r>
        <w:rPr>
          <w:rFonts w:hint="eastAsia"/>
          <w:szCs w:val="21"/>
        </w:rPr>
        <w:t xml:space="preserve"> SFM</w:t>
      </w:r>
    </w:p>
    <w:p w14:paraId="39F430F1" w14:textId="77777777" w:rsidR="009F5D13" w:rsidRDefault="00633BE6">
      <w:pPr>
        <w:spacing w:line="360" w:lineRule="auto"/>
        <w:jc w:val="left"/>
        <w:rPr>
          <w:szCs w:val="21"/>
        </w:rPr>
      </w:pPr>
      <w:r>
        <w:rPr>
          <w:szCs w:val="21"/>
        </w:rPr>
        <w:t>【产品货号】：</w:t>
      </w:r>
      <w:r>
        <w:rPr>
          <w:szCs w:val="21"/>
        </w:rPr>
        <w:t>ACE08101</w:t>
      </w:r>
    </w:p>
    <w:p w14:paraId="68065674" w14:textId="77777777" w:rsidR="009F5D13" w:rsidRDefault="00633BE6">
      <w:pPr>
        <w:spacing w:line="360" w:lineRule="auto"/>
        <w:jc w:val="left"/>
        <w:rPr>
          <w:szCs w:val="21"/>
        </w:rPr>
      </w:pPr>
      <w:r>
        <w:rPr>
          <w:szCs w:val="21"/>
        </w:rPr>
        <w:t>【包装规格】：</w:t>
      </w:r>
      <w:r>
        <w:rPr>
          <w:rFonts w:hint="eastAsia"/>
          <w:szCs w:val="21"/>
        </w:rPr>
        <w:t>10</w:t>
      </w:r>
      <w:r>
        <w:rPr>
          <w:szCs w:val="21"/>
        </w:rPr>
        <w:t>0ml</w:t>
      </w:r>
    </w:p>
    <w:p w14:paraId="1F629414" w14:textId="77777777" w:rsidR="00F074BC" w:rsidRDefault="00633BE6">
      <w:pPr>
        <w:spacing w:line="360" w:lineRule="auto"/>
        <w:jc w:val="left"/>
        <w:rPr>
          <w:szCs w:val="21"/>
        </w:rPr>
      </w:pPr>
      <w:r>
        <w:rPr>
          <w:szCs w:val="21"/>
        </w:rPr>
        <w:t>【主要成分】：该产品为无血清培养基，不含动物源成分</w:t>
      </w:r>
      <w:r w:rsidR="00F074BC">
        <w:rPr>
          <w:rFonts w:hint="eastAsia"/>
          <w:szCs w:val="21"/>
        </w:rPr>
        <w:t>，</w:t>
      </w:r>
    </w:p>
    <w:p w14:paraId="7AA31319" w14:textId="1D68D7E3" w:rsidR="009F5D13" w:rsidRDefault="00633BE6">
      <w:pPr>
        <w:spacing w:line="360" w:lineRule="auto"/>
        <w:jc w:val="left"/>
        <w:rPr>
          <w:szCs w:val="21"/>
        </w:rPr>
      </w:pPr>
      <w:r>
        <w:rPr>
          <w:szCs w:val="21"/>
        </w:rPr>
        <w:t>主要含糖类、氨基酸、无机盐及微量元素等</w:t>
      </w:r>
    </w:p>
    <w:p w14:paraId="5D2092BA" w14:textId="5A2ED3D7" w:rsidR="009F5D13" w:rsidRDefault="00633BE6">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45A9D218" w14:textId="4DCEC6C6" w:rsidR="009F5D13" w:rsidRDefault="00633BE6">
      <w:pPr>
        <w:spacing w:line="360" w:lineRule="auto"/>
        <w:jc w:val="left"/>
        <w:rPr>
          <w:szCs w:val="21"/>
        </w:rPr>
      </w:pPr>
      <w:r>
        <w:rPr>
          <w:szCs w:val="21"/>
        </w:rPr>
        <w:t>【预期用途】：单细胞无血清悬浮培养基可用于</w:t>
      </w:r>
      <w:r>
        <w:rPr>
          <w:szCs w:val="21"/>
        </w:rPr>
        <w:t>293</w:t>
      </w:r>
      <w:r>
        <w:rPr>
          <w:szCs w:val="21"/>
        </w:rPr>
        <w:t>、</w:t>
      </w:r>
      <w:r>
        <w:rPr>
          <w:szCs w:val="21"/>
        </w:rPr>
        <w:t>CHO</w:t>
      </w:r>
      <w:r>
        <w:rPr>
          <w:szCs w:val="21"/>
        </w:rPr>
        <w:t>、杂交瘤等细胞的单细胞培养</w:t>
      </w:r>
      <w:r w:rsidR="00F074BC">
        <w:rPr>
          <w:rFonts w:hint="eastAsia"/>
          <w:szCs w:val="21"/>
        </w:rPr>
        <w:t>，以</w:t>
      </w:r>
      <w:r>
        <w:rPr>
          <w:szCs w:val="21"/>
        </w:rPr>
        <w:t>及单克隆细胞株</w:t>
      </w:r>
      <w:r w:rsidR="00F074BC">
        <w:rPr>
          <w:rFonts w:hint="eastAsia"/>
          <w:szCs w:val="21"/>
        </w:rPr>
        <w:t>的</w:t>
      </w:r>
      <w:r>
        <w:rPr>
          <w:szCs w:val="21"/>
        </w:rPr>
        <w:t>建立</w:t>
      </w:r>
      <w:r w:rsidR="00F074BC">
        <w:rPr>
          <w:rFonts w:hint="eastAsia"/>
          <w:szCs w:val="21"/>
        </w:rPr>
        <w:t>实验，</w:t>
      </w:r>
      <w:r>
        <w:rPr>
          <w:szCs w:val="21"/>
        </w:rPr>
        <w:t>使用时需添加</w:t>
      </w:r>
      <w:r>
        <w:rPr>
          <w:szCs w:val="21"/>
        </w:rPr>
        <w:t>ACE ITS</w:t>
      </w:r>
      <w:r>
        <w:rPr>
          <w:szCs w:val="21"/>
        </w:rPr>
        <w:t>或适量</w:t>
      </w:r>
      <w:r>
        <w:rPr>
          <w:szCs w:val="21"/>
        </w:rPr>
        <w:t>FBS</w:t>
      </w:r>
      <w:r>
        <w:rPr>
          <w:szCs w:val="21"/>
        </w:rPr>
        <w:t>。</w:t>
      </w:r>
    </w:p>
    <w:p w14:paraId="35DB0E04" w14:textId="4415B067" w:rsidR="009F5D13" w:rsidRDefault="00633BE6">
      <w:pPr>
        <w:spacing w:line="360" w:lineRule="auto"/>
        <w:jc w:val="left"/>
        <w:rPr>
          <w:szCs w:val="21"/>
        </w:rPr>
      </w:pPr>
      <w:bookmarkStart w:id="0" w:name="_GoBack"/>
      <w:bookmarkEnd w:id="0"/>
      <w:r>
        <w:rPr>
          <w:szCs w:val="21"/>
        </w:rPr>
        <w:t>【运输要求】：</w:t>
      </w:r>
      <w:r>
        <w:rPr>
          <w:rFonts w:hint="eastAsia"/>
          <w:szCs w:val="21"/>
        </w:rPr>
        <w:t>湿冰运输</w:t>
      </w:r>
      <w:r>
        <w:rPr>
          <w:szCs w:val="21"/>
        </w:rPr>
        <w:t>。</w:t>
      </w:r>
    </w:p>
    <w:p w14:paraId="63946614" w14:textId="6C41EC24" w:rsidR="009F5D13" w:rsidRPr="00F074BC" w:rsidRDefault="00633BE6">
      <w:pPr>
        <w:spacing w:line="360" w:lineRule="auto"/>
        <w:jc w:val="left"/>
        <w:rPr>
          <w:rFonts w:ascii="SimSun" w:hAnsi="SimSun" w:cs="SimSun"/>
          <w:szCs w:val="21"/>
        </w:rPr>
      </w:pPr>
      <w:r>
        <w:rPr>
          <w:rFonts w:ascii="SimSun" w:hAnsi="SimSun" w:cs="SimSun" w:hint="eastAsia"/>
          <w:szCs w:val="21"/>
        </w:rPr>
        <w:t>【存储条件及有效期】：</w:t>
      </w:r>
      <w:r>
        <w:rPr>
          <w:rFonts w:hint="eastAsia"/>
          <w:szCs w:val="21"/>
        </w:rPr>
        <w:t>2~8</w:t>
      </w:r>
      <w:r>
        <w:rPr>
          <w:rFonts w:hint="eastAsia"/>
          <w:szCs w:val="21"/>
        </w:rPr>
        <w:t>℃避光保存；有效期</w:t>
      </w:r>
      <w:r>
        <w:rPr>
          <w:rFonts w:hint="eastAsia"/>
          <w:szCs w:val="21"/>
        </w:rPr>
        <w:t>9</w:t>
      </w:r>
      <w:r>
        <w:rPr>
          <w:rFonts w:hint="eastAsia"/>
          <w:szCs w:val="21"/>
        </w:rPr>
        <w:t>个月</w:t>
      </w:r>
      <w:r>
        <w:rPr>
          <w:szCs w:val="21"/>
        </w:rPr>
        <w:t>。</w:t>
      </w:r>
    </w:p>
    <w:p w14:paraId="4F1CFA10" w14:textId="77777777" w:rsidR="009F5D13" w:rsidRDefault="00633BE6">
      <w:pPr>
        <w:spacing w:line="360" w:lineRule="auto"/>
        <w:jc w:val="left"/>
        <w:rPr>
          <w:rFonts w:ascii="SimSun" w:hAnsi="SimSun" w:cs="SimSun"/>
          <w:szCs w:val="21"/>
        </w:rPr>
      </w:pPr>
      <w:r>
        <w:rPr>
          <w:rFonts w:ascii="SimSun" w:hAnsi="SimSun" w:cs="SimSun" w:hint="eastAsia"/>
          <w:szCs w:val="21"/>
        </w:rPr>
        <w:t>【使用方法】</w:t>
      </w:r>
    </w:p>
    <w:tbl>
      <w:tblPr>
        <w:tblStyle w:val="TableGrid"/>
        <w:tblpPr w:leftFromText="180" w:rightFromText="180" w:vertAnchor="text" w:tblpX="104" w:tblpY="29"/>
        <w:tblOverlap w:val="never"/>
        <w:tblW w:w="963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35"/>
      </w:tblGrid>
      <w:tr w:rsidR="009F5D13" w14:paraId="513FDC54" w14:textId="77777777">
        <w:trPr>
          <w:trHeight w:val="1544"/>
        </w:trPr>
        <w:tc>
          <w:tcPr>
            <w:tcW w:w="9635" w:type="dxa"/>
            <w:shd w:val="clear" w:color="auto" w:fill="F2DCDC" w:themeFill="accent2" w:themeFillTint="32"/>
          </w:tcPr>
          <w:p w14:paraId="25B207C3" w14:textId="77777777" w:rsidR="009F5D13" w:rsidRDefault="00633BE6">
            <w:pPr>
              <w:spacing w:line="360" w:lineRule="auto"/>
              <w:jc w:val="left"/>
              <w:rPr>
                <w:b/>
                <w:bCs/>
                <w:szCs w:val="21"/>
              </w:rPr>
            </w:pPr>
            <w:r>
              <w:rPr>
                <w:rFonts w:hint="eastAsia"/>
                <w:b/>
                <w:bCs/>
                <w:szCs w:val="21"/>
              </w:rPr>
              <w:t>温馨提醒：</w:t>
            </w:r>
          </w:p>
          <w:p w14:paraId="39E09669" w14:textId="77777777" w:rsidR="009F5D13" w:rsidRDefault="00633BE6">
            <w:pPr>
              <w:spacing w:line="360" w:lineRule="auto"/>
              <w:jc w:val="left"/>
              <w:rPr>
                <w:b/>
                <w:bCs/>
                <w:szCs w:val="21"/>
              </w:rPr>
            </w:pPr>
            <w:r>
              <w:rPr>
                <w:rFonts w:hint="eastAsia"/>
                <w:b/>
                <w:bCs/>
                <w:szCs w:val="21"/>
              </w:rPr>
              <w:t>（</w:t>
            </w:r>
            <w:r>
              <w:rPr>
                <w:rFonts w:hint="eastAsia"/>
                <w:b/>
                <w:bCs/>
                <w:szCs w:val="21"/>
              </w:rPr>
              <w:t>1</w:t>
            </w:r>
            <w:r>
              <w:rPr>
                <w:rFonts w:hint="eastAsia"/>
                <w:b/>
                <w:bCs/>
                <w:szCs w:val="21"/>
              </w:rPr>
              <w:t>）产品切勿紫外照射；</w:t>
            </w:r>
          </w:p>
          <w:p w14:paraId="77F71A6D" w14:textId="77777777" w:rsidR="009F5D13" w:rsidRDefault="00633BE6">
            <w:pPr>
              <w:spacing w:line="360" w:lineRule="auto"/>
              <w:jc w:val="left"/>
              <w:rPr>
                <w:b/>
                <w:bCs/>
                <w:szCs w:val="21"/>
              </w:rPr>
            </w:pPr>
            <w:r>
              <w:rPr>
                <w:rFonts w:hint="eastAsia"/>
                <w:b/>
                <w:bCs/>
                <w:szCs w:val="21"/>
              </w:rPr>
              <w:t>（</w:t>
            </w:r>
            <w:r>
              <w:rPr>
                <w:rFonts w:hint="eastAsia"/>
                <w:b/>
                <w:bCs/>
                <w:szCs w:val="21"/>
              </w:rPr>
              <w:t>2</w:t>
            </w:r>
            <w:r>
              <w:rPr>
                <w:rFonts w:hint="eastAsia"/>
                <w:b/>
                <w:bCs/>
                <w:szCs w:val="21"/>
              </w:rPr>
              <w:t>）使用前</w:t>
            </w:r>
            <w:r>
              <w:rPr>
                <w:b/>
                <w:bCs/>
                <w:szCs w:val="21"/>
              </w:rPr>
              <w:t>无需预热处理；</w:t>
            </w:r>
          </w:p>
          <w:p w14:paraId="5DBDB118" w14:textId="1580531D" w:rsidR="009F5D13" w:rsidRDefault="00633BE6">
            <w:pPr>
              <w:spacing w:line="360" w:lineRule="auto"/>
              <w:jc w:val="left"/>
              <w:rPr>
                <w:b/>
                <w:bCs/>
                <w:szCs w:val="21"/>
              </w:rPr>
            </w:pPr>
            <w:r>
              <w:rPr>
                <w:rFonts w:hint="eastAsia"/>
                <w:b/>
                <w:bCs/>
                <w:szCs w:val="21"/>
              </w:rPr>
              <w:t>（</w:t>
            </w:r>
            <w:r>
              <w:rPr>
                <w:rFonts w:hint="eastAsia"/>
                <w:b/>
                <w:bCs/>
                <w:szCs w:val="21"/>
              </w:rPr>
              <w:t>3</w:t>
            </w:r>
            <w:r>
              <w:rPr>
                <w:rFonts w:hint="eastAsia"/>
                <w:b/>
                <w:bCs/>
                <w:szCs w:val="21"/>
              </w:rPr>
              <w:t>）使用医用冰箱</w:t>
            </w:r>
            <w:r w:rsidR="00F074BC">
              <w:rPr>
                <w:rFonts w:hint="eastAsia"/>
                <w:b/>
                <w:bCs/>
                <w:szCs w:val="21"/>
              </w:rPr>
              <w:t>储存</w:t>
            </w:r>
            <w:r>
              <w:rPr>
                <w:rFonts w:hint="eastAsia"/>
                <w:b/>
                <w:bCs/>
                <w:szCs w:val="21"/>
              </w:rPr>
              <w:t>，切勿冷冻。</w:t>
            </w:r>
          </w:p>
        </w:tc>
      </w:tr>
    </w:tbl>
    <w:p w14:paraId="19F470F6" w14:textId="77777777" w:rsidR="009F5D13" w:rsidRDefault="00633BE6">
      <w:pPr>
        <w:pStyle w:val="Heading1"/>
        <w:numPr>
          <w:ilvl w:val="0"/>
          <w:numId w:val="1"/>
        </w:numPr>
        <w:spacing w:before="156" w:line="360" w:lineRule="auto"/>
        <w:rPr>
          <w:sz w:val="21"/>
          <w:szCs w:val="21"/>
        </w:rPr>
      </w:pPr>
      <w:r>
        <w:rPr>
          <w:sz w:val="21"/>
          <w:szCs w:val="21"/>
        </w:rPr>
        <w:t>实验步骤</w:t>
      </w:r>
    </w:p>
    <w:p w14:paraId="519E5D2A" w14:textId="77013927" w:rsidR="009F5D13" w:rsidRDefault="00633BE6">
      <w:pPr>
        <w:spacing w:line="360" w:lineRule="auto"/>
        <w:rPr>
          <w:szCs w:val="21"/>
        </w:rPr>
      </w:pPr>
      <w:r>
        <w:rPr>
          <w:szCs w:val="21"/>
        </w:rPr>
        <w:t>以</w:t>
      </w:r>
      <w:r>
        <w:rPr>
          <w:szCs w:val="21"/>
        </w:rPr>
        <w:t>3</w:t>
      </w:r>
      <w:r>
        <w:rPr>
          <w:szCs w:val="21"/>
        </w:rPr>
        <w:t>块</w:t>
      </w:r>
      <w:r>
        <w:rPr>
          <w:szCs w:val="21"/>
        </w:rPr>
        <w:t>96</w:t>
      </w:r>
      <w:r>
        <w:rPr>
          <w:szCs w:val="21"/>
        </w:rPr>
        <w:t>孔板、每板</w:t>
      </w:r>
      <w:r>
        <w:rPr>
          <w:szCs w:val="21"/>
        </w:rPr>
        <w:t>200</w:t>
      </w:r>
      <w:r>
        <w:rPr>
          <w:szCs w:val="21"/>
        </w:rPr>
        <w:t>个细胞为例：</w:t>
      </w:r>
    </w:p>
    <w:p w14:paraId="4368FF41" w14:textId="6589DDDE" w:rsidR="009F5D13" w:rsidRDefault="00633BE6">
      <w:pPr>
        <w:pStyle w:val="ListParagraph"/>
        <w:spacing w:line="360" w:lineRule="auto"/>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）取无菌摇瓶，加入</w:t>
      </w:r>
      <w:r>
        <w:rPr>
          <w:rFonts w:ascii="Times New Roman" w:hAnsi="Times New Roman"/>
          <w:szCs w:val="21"/>
        </w:rPr>
        <w:t>48ml</w:t>
      </w:r>
      <w:r>
        <w:rPr>
          <w:rFonts w:ascii="Times New Roman" w:hAnsi="Times New Roman"/>
          <w:szCs w:val="21"/>
        </w:rPr>
        <w:t>的</w:t>
      </w:r>
      <w:r>
        <w:rPr>
          <w:rFonts w:ascii="Times New Roman" w:hAnsi="Times New Roman"/>
          <w:szCs w:val="21"/>
        </w:rPr>
        <w:t xml:space="preserve">ACE </w:t>
      </w:r>
      <w:proofErr w:type="spellStart"/>
      <w:r>
        <w:rPr>
          <w:rFonts w:ascii="Times New Roman" w:hAnsi="Times New Roman"/>
          <w:szCs w:val="21"/>
        </w:rPr>
        <w:t>SingleCell</w:t>
      </w:r>
      <w:proofErr w:type="spellEnd"/>
      <w:r>
        <w:rPr>
          <w:rFonts w:ascii="Times New Roman" w:hAnsi="Times New Roman"/>
          <w:szCs w:val="21"/>
        </w:rPr>
        <w:t xml:space="preserve"> SFM </w:t>
      </w:r>
      <w:r>
        <w:rPr>
          <w:rFonts w:ascii="Times New Roman" w:hAnsi="Times New Roman"/>
          <w:szCs w:val="21"/>
        </w:rPr>
        <w:t>培养液</w:t>
      </w:r>
      <w:r w:rsidR="00F074BC">
        <w:rPr>
          <w:rFonts w:ascii="Times New Roman" w:hAnsi="Times New Roman" w:hint="eastAsia"/>
          <w:szCs w:val="21"/>
        </w:rPr>
        <w:t>，</w:t>
      </w:r>
      <w:r>
        <w:rPr>
          <w:rFonts w:ascii="Times New Roman" w:hAnsi="Times New Roman"/>
          <w:szCs w:val="21"/>
        </w:rPr>
        <w:t>并向摇瓶中加入</w:t>
      </w:r>
      <w:r>
        <w:rPr>
          <w:rFonts w:ascii="Times New Roman" w:hAnsi="Times New Roman"/>
          <w:szCs w:val="21"/>
        </w:rPr>
        <w:t xml:space="preserve">480µl </w:t>
      </w:r>
      <w:r>
        <w:rPr>
          <w:rFonts w:ascii="Times New Roman" w:hAnsi="Times New Roman"/>
          <w:szCs w:val="21"/>
        </w:rPr>
        <w:t>的</w:t>
      </w:r>
      <w:r>
        <w:rPr>
          <w:rFonts w:ascii="Times New Roman" w:hAnsi="Times New Roman"/>
          <w:szCs w:val="21"/>
        </w:rPr>
        <w:t>ACE ITS</w:t>
      </w: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100</w:t>
      </w:r>
      <w:r>
        <w:rPr>
          <w:rFonts w:ascii="Times New Roman" w:hAnsi="Times New Roman"/>
          <w:szCs w:val="21"/>
        </w:rPr>
        <w:t>）</w:t>
      </w:r>
      <w:r w:rsidR="00F074BC">
        <w:rPr>
          <w:rFonts w:ascii="Times New Roman" w:hAnsi="Times New Roman" w:hint="eastAsia"/>
          <w:szCs w:val="21"/>
        </w:rPr>
        <w:t>或</w:t>
      </w:r>
      <w:r>
        <w:rPr>
          <w:rFonts w:ascii="Times New Roman" w:hAnsi="Times New Roman" w:hint="eastAsia"/>
          <w:szCs w:val="21"/>
        </w:rPr>
        <w:t>FBS(</w:t>
      </w:r>
      <w:r>
        <w:rPr>
          <w:rFonts w:ascii="Times New Roman" w:hAnsi="Times New Roman" w:hint="eastAsia"/>
          <w:szCs w:val="21"/>
        </w:rPr>
        <w:t>可根据</w:t>
      </w:r>
      <w:r w:rsidR="00F074BC">
        <w:rPr>
          <w:rFonts w:ascii="Times New Roman" w:hAnsi="Times New Roman" w:hint="eastAsia"/>
          <w:szCs w:val="21"/>
        </w:rPr>
        <w:t>用户经验</w:t>
      </w:r>
      <w:r>
        <w:rPr>
          <w:rFonts w:ascii="Times New Roman" w:hAnsi="Times New Roman" w:hint="eastAsia"/>
          <w:szCs w:val="21"/>
        </w:rPr>
        <w:t>添加）</w:t>
      </w:r>
      <w:r>
        <w:rPr>
          <w:rFonts w:ascii="Times New Roman" w:hAnsi="Times New Roman"/>
          <w:szCs w:val="21"/>
        </w:rPr>
        <w:t>，</w:t>
      </w:r>
      <w:r w:rsidR="00F074BC">
        <w:rPr>
          <w:rFonts w:ascii="Times New Roman" w:hAnsi="Times New Roman" w:hint="eastAsia"/>
          <w:szCs w:val="21"/>
        </w:rPr>
        <w:t>手动轻摇</w:t>
      </w:r>
      <w:r>
        <w:rPr>
          <w:rFonts w:ascii="Times New Roman" w:hAnsi="Times New Roman" w:hint="eastAsia"/>
          <w:szCs w:val="21"/>
        </w:rPr>
        <w:t>混</w:t>
      </w:r>
      <w:r>
        <w:rPr>
          <w:rFonts w:ascii="Times New Roman" w:hAnsi="Times New Roman"/>
          <w:szCs w:val="21"/>
        </w:rPr>
        <w:t>匀，再从摇瓶中分别取</w:t>
      </w:r>
      <w:r>
        <w:rPr>
          <w:rFonts w:ascii="Times New Roman" w:hAnsi="Times New Roman"/>
          <w:szCs w:val="21"/>
        </w:rPr>
        <w:t>900µl</w:t>
      </w:r>
      <w:r>
        <w:rPr>
          <w:rFonts w:ascii="Times New Roman" w:hAnsi="Times New Roman"/>
          <w:szCs w:val="21"/>
        </w:rPr>
        <w:t>的培养液加入</w:t>
      </w:r>
      <w:r>
        <w:rPr>
          <w:rFonts w:ascii="Times New Roman" w:hAnsi="Times New Roman"/>
          <w:szCs w:val="21"/>
        </w:rPr>
        <w:t>3</w:t>
      </w:r>
      <w:r>
        <w:rPr>
          <w:rFonts w:ascii="Times New Roman" w:hAnsi="Times New Roman"/>
          <w:szCs w:val="21"/>
        </w:rPr>
        <w:t>个</w:t>
      </w:r>
      <w:r>
        <w:rPr>
          <w:rFonts w:ascii="Times New Roman" w:hAnsi="Times New Roman"/>
          <w:szCs w:val="21"/>
        </w:rPr>
        <w:t>1.5ml</w:t>
      </w:r>
      <w:r>
        <w:rPr>
          <w:rFonts w:ascii="Times New Roman" w:hAnsi="Times New Roman"/>
          <w:szCs w:val="21"/>
        </w:rPr>
        <w:t>的离心管中，分别标号为管</w:t>
      </w:r>
      <w:r>
        <w:rPr>
          <w:rFonts w:ascii="Times New Roman" w:hAnsi="Times New Roman"/>
          <w:szCs w:val="21"/>
        </w:rPr>
        <w:t>1</w:t>
      </w:r>
      <w:r>
        <w:rPr>
          <w:rFonts w:ascii="Times New Roman" w:hAnsi="Times New Roman"/>
          <w:szCs w:val="21"/>
        </w:rPr>
        <w:t>、管</w:t>
      </w:r>
      <w:r>
        <w:rPr>
          <w:rFonts w:ascii="Times New Roman" w:hAnsi="Times New Roman"/>
          <w:szCs w:val="21"/>
        </w:rPr>
        <w:t>2</w:t>
      </w:r>
      <w:r>
        <w:rPr>
          <w:rFonts w:ascii="Times New Roman" w:hAnsi="Times New Roman"/>
          <w:szCs w:val="21"/>
        </w:rPr>
        <w:t>、管</w:t>
      </w:r>
      <w:r>
        <w:rPr>
          <w:rFonts w:ascii="Times New Roman" w:hAnsi="Times New Roman"/>
          <w:szCs w:val="21"/>
        </w:rPr>
        <w:t>3</w:t>
      </w:r>
      <w:r>
        <w:rPr>
          <w:rFonts w:ascii="Times New Roman" w:hAnsi="Times New Roman"/>
          <w:szCs w:val="21"/>
        </w:rPr>
        <w:t>；</w:t>
      </w:r>
    </w:p>
    <w:p w14:paraId="2E154924" w14:textId="7BEEFB96" w:rsidR="009F5D13" w:rsidRDefault="00633BE6">
      <w:pPr>
        <w:pStyle w:val="ListParagraph"/>
        <w:spacing w:line="360" w:lineRule="auto"/>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sidR="00F074BC">
        <w:rPr>
          <w:rFonts w:ascii="Times New Roman" w:hAnsi="Times New Roman" w:hint="eastAsia"/>
          <w:szCs w:val="21"/>
        </w:rPr>
        <w:t>使用</w:t>
      </w:r>
      <w:r>
        <w:rPr>
          <w:rFonts w:ascii="Times New Roman" w:hAnsi="Times New Roman"/>
          <w:szCs w:val="21"/>
        </w:rPr>
        <w:t>有限稀释法梯度稀释待克隆细胞：取待克隆的细胞</w:t>
      </w:r>
      <w:r>
        <w:rPr>
          <w:rFonts w:ascii="Times New Roman" w:hAnsi="Times New Roman"/>
          <w:szCs w:val="21"/>
        </w:rPr>
        <w:t>100µl</w:t>
      </w:r>
      <w:r>
        <w:rPr>
          <w:rFonts w:ascii="Times New Roman" w:hAnsi="Times New Roman"/>
          <w:szCs w:val="21"/>
        </w:rPr>
        <w:t>，加入管</w:t>
      </w:r>
      <w:r>
        <w:rPr>
          <w:rFonts w:ascii="Times New Roman" w:hAnsi="Times New Roman"/>
          <w:szCs w:val="21"/>
        </w:rPr>
        <w:t>1</w:t>
      </w:r>
      <w:r>
        <w:rPr>
          <w:rFonts w:ascii="Times New Roman" w:hAnsi="Times New Roman"/>
          <w:szCs w:val="21"/>
        </w:rPr>
        <w:t>中，</w:t>
      </w:r>
      <w:r w:rsidR="00F074BC">
        <w:rPr>
          <w:rFonts w:ascii="Times New Roman" w:hAnsi="Times New Roman" w:hint="eastAsia"/>
          <w:szCs w:val="21"/>
        </w:rPr>
        <w:t>并</w:t>
      </w:r>
      <w:r>
        <w:rPr>
          <w:rFonts w:ascii="Times New Roman" w:hAnsi="Times New Roman"/>
          <w:szCs w:val="21"/>
        </w:rPr>
        <w:t>按梯度稀释的方法</w:t>
      </w:r>
      <w:r w:rsidR="00F074BC">
        <w:rPr>
          <w:rFonts w:ascii="Times New Roman" w:hAnsi="Times New Roman" w:hint="eastAsia"/>
          <w:szCs w:val="21"/>
        </w:rPr>
        <w:t>按照管</w:t>
      </w:r>
      <w:r w:rsidR="00F074BC">
        <w:rPr>
          <w:rFonts w:ascii="Times New Roman" w:hAnsi="Times New Roman" w:hint="eastAsia"/>
          <w:szCs w:val="21"/>
        </w:rPr>
        <w:t>2</w:t>
      </w:r>
      <w:r w:rsidR="00F074BC">
        <w:rPr>
          <w:rFonts w:ascii="Times New Roman" w:hAnsi="Times New Roman" w:hint="eastAsia"/>
          <w:szCs w:val="21"/>
        </w:rPr>
        <w:t>、管</w:t>
      </w:r>
      <w:r w:rsidR="00F074BC">
        <w:rPr>
          <w:rFonts w:ascii="Times New Roman" w:hAnsi="Times New Roman" w:hint="eastAsia"/>
          <w:szCs w:val="21"/>
        </w:rPr>
        <w:t>3</w:t>
      </w:r>
      <w:r w:rsidR="00F074BC">
        <w:rPr>
          <w:rFonts w:ascii="Times New Roman" w:hAnsi="Times New Roman" w:hint="eastAsia"/>
          <w:szCs w:val="21"/>
        </w:rPr>
        <w:t>顺序完成</w:t>
      </w:r>
      <w:r>
        <w:rPr>
          <w:rFonts w:ascii="Times New Roman" w:hAnsi="Times New Roman"/>
          <w:szCs w:val="21"/>
        </w:rPr>
        <w:t>稀释</w:t>
      </w:r>
      <w:r w:rsidR="00F074BC">
        <w:rPr>
          <w:rFonts w:ascii="Times New Roman" w:hAnsi="Times New Roman" w:hint="eastAsia"/>
          <w:szCs w:val="21"/>
        </w:rPr>
        <w:t>细胞</w:t>
      </w:r>
      <w:r>
        <w:rPr>
          <w:rFonts w:ascii="Times New Roman" w:hAnsi="Times New Roman"/>
          <w:szCs w:val="21"/>
        </w:rPr>
        <w:t>。快速从管</w:t>
      </w:r>
      <w:r>
        <w:rPr>
          <w:rFonts w:ascii="Times New Roman" w:hAnsi="Times New Roman"/>
          <w:szCs w:val="21"/>
        </w:rPr>
        <w:t>3</w:t>
      </w:r>
      <w:r>
        <w:rPr>
          <w:rFonts w:ascii="Times New Roman" w:hAnsi="Times New Roman"/>
          <w:szCs w:val="21"/>
        </w:rPr>
        <w:t>中</w:t>
      </w:r>
      <w:r w:rsidR="00F074BC">
        <w:rPr>
          <w:rFonts w:ascii="Times New Roman" w:hAnsi="Times New Roman" w:hint="eastAsia"/>
          <w:szCs w:val="21"/>
        </w:rPr>
        <w:t>分别</w:t>
      </w:r>
      <w:r>
        <w:rPr>
          <w:rFonts w:ascii="Times New Roman" w:hAnsi="Times New Roman"/>
          <w:szCs w:val="21"/>
        </w:rPr>
        <w:t>吸取</w:t>
      </w:r>
      <w:r>
        <w:rPr>
          <w:rFonts w:ascii="Times New Roman" w:hAnsi="Times New Roman"/>
          <w:szCs w:val="21"/>
        </w:rPr>
        <w:t>3</w:t>
      </w:r>
      <w:r>
        <w:rPr>
          <w:rFonts w:ascii="Times New Roman" w:hAnsi="Times New Roman"/>
          <w:szCs w:val="21"/>
        </w:rPr>
        <w:t>滴</w:t>
      </w:r>
      <w:r w:rsidR="00F074BC">
        <w:rPr>
          <w:rFonts w:ascii="Times New Roman" w:hAnsi="Times New Roman" w:hint="eastAsia"/>
          <w:szCs w:val="21"/>
        </w:rPr>
        <w:t>（每滴约</w:t>
      </w:r>
      <w:r w:rsidR="00F074BC">
        <w:rPr>
          <w:rFonts w:ascii="Times New Roman" w:hAnsi="Times New Roman" w:hint="eastAsia"/>
          <w:szCs w:val="21"/>
        </w:rPr>
        <w:t>1</w:t>
      </w:r>
      <w:r w:rsidR="00F074BC">
        <w:rPr>
          <w:rFonts w:ascii="Times New Roman" w:hAnsi="Times New Roman"/>
          <w:szCs w:val="21"/>
        </w:rPr>
        <w:t>0ul</w:t>
      </w:r>
      <w:r w:rsidR="00F074BC">
        <w:rPr>
          <w:rFonts w:ascii="Times New Roman" w:hAnsi="Times New Roman" w:hint="eastAsia"/>
          <w:szCs w:val="21"/>
        </w:rPr>
        <w:t>）</w:t>
      </w:r>
      <w:r>
        <w:rPr>
          <w:rFonts w:ascii="Times New Roman" w:hAnsi="Times New Roman"/>
          <w:szCs w:val="21"/>
        </w:rPr>
        <w:t>细胞混合液于小平皿中，</w:t>
      </w:r>
      <w:r w:rsidR="00F074BC">
        <w:rPr>
          <w:rFonts w:ascii="Times New Roman" w:hAnsi="Times New Roman" w:hint="eastAsia"/>
          <w:szCs w:val="21"/>
        </w:rPr>
        <w:t>置于</w:t>
      </w:r>
      <w:r>
        <w:rPr>
          <w:rFonts w:ascii="Times New Roman" w:hAnsi="Times New Roman"/>
          <w:szCs w:val="21"/>
        </w:rPr>
        <w:t>显微镜下计数</w:t>
      </w:r>
      <w:r>
        <w:rPr>
          <w:rFonts w:ascii="Times New Roman" w:hAnsi="Times New Roman"/>
          <w:szCs w:val="21"/>
        </w:rPr>
        <w:t xml:space="preserve"> </w:t>
      </w:r>
      <w:r>
        <w:rPr>
          <w:rFonts w:ascii="Times New Roman" w:hAnsi="Times New Roman"/>
          <w:szCs w:val="21"/>
        </w:rPr>
        <w:t>，取</w:t>
      </w:r>
      <w:r w:rsidR="00F074BC">
        <w:rPr>
          <w:rFonts w:ascii="Times New Roman" w:hAnsi="Times New Roman" w:hint="eastAsia"/>
          <w:szCs w:val="21"/>
        </w:rPr>
        <w:t>3</w:t>
      </w:r>
      <w:r w:rsidR="00F074BC">
        <w:rPr>
          <w:rFonts w:ascii="Times New Roman" w:hAnsi="Times New Roman" w:hint="eastAsia"/>
          <w:szCs w:val="21"/>
        </w:rPr>
        <w:t>滴细胞中的</w:t>
      </w:r>
      <w:r>
        <w:rPr>
          <w:rFonts w:ascii="Times New Roman" w:hAnsi="Times New Roman"/>
          <w:szCs w:val="21"/>
        </w:rPr>
        <w:t>平均数（</w:t>
      </w:r>
      <w:r>
        <w:rPr>
          <w:rFonts w:ascii="Times New Roman" w:hAnsi="Times New Roman"/>
          <w:szCs w:val="21"/>
        </w:rPr>
        <w:t xml:space="preserve">* </w:t>
      </w:r>
      <w:r>
        <w:rPr>
          <w:rFonts w:ascii="Times New Roman" w:hAnsi="Times New Roman"/>
          <w:szCs w:val="21"/>
        </w:rPr>
        <w:t>个</w:t>
      </w:r>
      <w:r>
        <w:rPr>
          <w:rFonts w:ascii="Times New Roman" w:hAnsi="Times New Roman"/>
          <w:szCs w:val="21"/>
        </w:rPr>
        <w:t>/10µl</w:t>
      </w:r>
      <w:r>
        <w:rPr>
          <w:rFonts w:ascii="Times New Roman" w:hAnsi="Times New Roman"/>
          <w:szCs w:val="21"/>
        </w:rPr>
        <w:t>）。若细胞量较少（﹤</w:t>
      </w:r>
      <w:r>
        <w:rPr>
          <w:rFonts w:ascii="Times New Roman" w:hAnsi="Times New Roman"/>
          <w:szCs w:val="21"/>
        </w:rPr>
        <w:t>10</w:t>
      </w:r>
      <w:r>
        <w:rPr>
          <w:rFonts w:ascii="Times New Roman" w:hAnsi="Times New Roman"/>
          <w:szCs w:val="21"/>
        </w:rPr>
        <w:t>个），则按照同样的方法吸取管</w:t>
      </w:r>
      <w:r>
        <w:rPr>
          <w:rFonts w:ascii="Times New Roman" w:hAnsi="Times New Roman"/>
          <w:szCs w:val="21"/>
        </w:rPr>
        <w:t>2</w:t>
      </w:r>
      <w:r>
        <w:rPr>
          <w:rFonts w:ascii="Times New Roman" w:hAnsi="Times New Roman"/>
          <w:szCs w:val="21"/>
        </w:rPr>
        <w:t>细胞混合液</w:t>
      </w:r>
      <w:r w:rsidR="00F074BC">
        <w:rPr>
          <w:rFonts w:ascii="Times New Roman" w:hAnsi="Times New Roman" w:hint="eastAsia"/>
          <w:szCs w:val="21"/>
        </w:rPr>
        <w:t>进行</w:t>
      </w:r>
      <w:r w:rsidR="00520B20">
        <w:rPr>
          <w:rFonts w:ascii="Times New Roman" w:hAnsi="Times New Roman" w:hint="eastAsia"/>
          <w:szCs w:val="21"/>
        </w:rPr>
        <w:t>计数</w:t>
      </w:r>
      <w:r>
        <w:rPr>
          <w:rFonts w:ascii="Times New Roman" w:hAnsi="Times New Roman"/>
          <w:szCs w:val="21"/>
        </w:rPr>
        <w:t>。</w:t>
      </w:r>
      <w:r w:rsidR="00520B20">
        <w:rPr>
          <w:rFonts w:ascii="Times New Roman" w:hAnsi="Times New Roman" w:hint="eastAsia"/>
          <w:szCs w:val="21"/>
        </w:rPr>
        <w:t>按照每块板</w:t>
      </w:r>
      <w:r w:rsidR="00520B20">
        <w:rPr>
          <w:rFonts w:ascii="Times New Roman" w:hAnsi="Times New Roman" w:hint="eastAsia"/>
          <w:szCs w:val="21"/>
        </w:rPr>
        <w:t>2</w:t>
      </w:r>
      <w:r w:rsidR="00520B20">
        <w:rPr>
          <w:rFonts w:ascii="Times New Roman" w:hAnsi="Times New Roman"/>
          <w:szCs w:val="21"/>
        </w:rPr>
        <w:t>00</w:t>
      </w:r>
      <w:r w:rsidR="00520B20">
        <w:rPr>
          <w:rFonts w:ascii="Times New Roman" w:hAnsi="Times New Roman" w:hint="eastAsia"/>
          <w:szCs w:val="21"/>
        </w:rPr>
        <w:t>个细胞，每孔</w:t>
      </w:r>
      <w:r w:rsidR="00520B20">
        <w:rPr>
          <w:rFonts w:ascii="Times New Roman" w:hAnsi="Times New Roman" w:hint="eastAsia"/>
          <w:szCs w:val="21"/>
        </w:rPr>
        <w:t>1</w:t>
      </w:r>
      <w:r w:rsidR="00DA0473">
        <w:rPr>
          <w:rFonts w:ascii="Times New Roman" w:hAnsi="Times New Roman"/>
          <w:szCs w:val="21"/>
        </w:rPr>
        <w:t>5</w:t>
      </w:r>
      <w:r w:rsidR="00520B20">
        <w:rPr>
          <w:rFonts w:ascii="Times New Roman" w:hAnsi="Times New Roman"/>
          <w:szCs w:val="21"/>
        </w:rPr>
        <w:t>0</w:t>
      </w:r>
      <w:r w:rsidR="00DA0473" w:rsidRPr="00DA0473">
        <w:rPr>
          <w:rFonts w:ascii="Times New Roman" w:hAnsi="Times New Roman"/>
          <w:szCs w:val="21"/>
        </w:rPr>
        <w:t xml:space="preserve"> </w:t>
      </w:r>
      <w:r w:rsidR="00DA0473">
        <w:rPr>
          <w:rFonts w:ascii="Times New Roman" w:hAnsi="Times New Roman"/>
          <w:szCs w:val="21"/>
        </w:rPr>
        <w:t>µl</w:t>
      </w:r>
      <w:r w:rsidR="00520B20">
        <w:rPr>
          <w:rFonts w:ascii="Times New Roman" w:hAnsi="Times New Roman" w:hint="eastAsia"/>
          <w:szCs w:val="21"/>
        </w:rPr>
        <w:t>体积，</w:t>
      </w:r>
      <w:r>
        <w:rPr>
          <w:rFonts w:ascii="Times New Roman" w:hAnsi="Times New Roman"/>
          <w:szCs w:val="21"/>
        </w:rPr>
        <w:t>计算出</w:t>
      </w:r>
      <w:r w:rsidR="00520B20">
        <w:rPr>
          <w:rFonts w:ascii="Times New Roman" w:hAnsi="Times New Roman" w:hint="eastAsia"/>
          <w:szCs w:val="21"/>
        </w:rPr>
        <w:t>所</w:t>
      </w:r>
      <w:r>
        <w:rPr>
          <w:rFonts w:ascii="Times New Roman" w:hAnsi="Times New Roman"/>
          <w:szCs w:val="21"/>
        </w:rPr>
        <w:t>需细胞混合液体积</w:t>
      </w:r>
      <w:r w:rsidR="00520B20">
        <w:rPr>
          <w:rFonts w:ascii="Times New Roman" w:hAnsi="Times New Roman" w:hint="eastAsia"/>
          <w:szCs w:val="21"/>
        </w:rPr>
        <w:t>及细胞密度</w:t>
      </w:r>
      <w:r>
        <w:rPr>
          <w:rFonts w:ascii="Times New Roman" w:hAnsi="Times New Roman"/>
          <w:szCs w:val="21"/>
        </w:rPr>
        <w:t>，取相应细胞混合液加入到步骤</w:t>
      </w:r>
      <w:r>
        <w:rPr>
          <w:rFonts w:ascii="Times New Roman" w:hAnsi="Times New Roman"/>
          <w:szCs w:val="21"/>
        </w:rPr>
        <w:t>1</w:t>
      </w:r>
      <w:r>
        <w:rPr>
          <w:rFonts w:ascii="Times New Roman" w:hAnsi="Times New Roman"/>
          <w:szCs w:val="21"/>
        </w:rPr>
        <w:t>）中剩余的</w:t>
      </w:r>
      <w:r>
        <w:rPr>
          <w:rFonts w:ascii="Times New Roman" w:hAnsi="Times New Roman"/>
          <w:szCs w:val="21"/>
        </w:rPr>
        <w:t>45ml</w:t>
      </w:r>
      <w:r>
        <w:rPr>
          <w:rFonts w:ascii="Times New Roman" w:hAnsi="Times New Roman"/>
          <w:szCs w:val="21"/>
        </w:rPr>
        <w:t>的</w:t>
      </w:r>
      <w:r>
        <w:rPr>
          <w:rFonts w:ascii="Times New Roman" w:hAnsi="Times New Roman"/>
          <w:szCs w:val="21"/>
        </w:rPr>
        <w:t xml:space="preserve">ACE </w:t>
      </w:r>
      <w:proofErr w:type="spellStart"/>
      <w:r>
        <w:rPr>
          <w:rFonts w:ascii="Times New Roman" w:hAnsi="Times New Roman"/>
          <w:szCs w:val="21"/>
        </w:rPr>
        <w:t>SingleCell</w:t>
      </w:r>
      <w:proofErr w:type="spellEnd"/>
      <w:r>
        <w:rPr>
          <w:rFonts w:ascii="Times New Roman" w:hAnsi="Times New Roman"/>
          <w:szCs w:val="21"/>
        </w:rPr>
        <w:t xml:space="preserve"> SFM</w:t>
      </w:r>
      <w:r>
        <w:rPr>
          <w:rFonts w:ascii="Times New Roman" w:hAnsi="Times New Roman"/>
          <w:szCs w:val="21"/>
        </w:rPr>
        <w:t>培养液中，混匀</w:t>
      </w:r>
      <w:r w:rsidR="00520B20">
        <w:rPr>
          <w:rFonts w:ascii="Times New Roman" w:hAnsi="Times New Roman" w:hint="eastAsia"/>
          <w:szCs w:val="21"/>
        </w:rPr>
        <w:t>制备成所需细胞悬液</w:t>
      </w:r>
      <w:r>
        <w:rPr>
          <w:rFonts w:ascii="Times New Roman" w:hAnsi="Times New Roman" w:hint="eastAsia"/>
          <w:szCs w:val="21"/>
        </w:rPr>
        <w:t>；</w:t>
      </w:r>
    </w:p>
    <w:tbl>
      <w:tblPr>
        <w:tblStyle w:val="TableGrid"/>
        <w:tblpPr w:leftFromText="180" w:rightFromText="180" w:vertAnchor="text" w:tblpX="104" w:tblpY="29"/>
        <w:tblOverlap w:val="never"/>
        <w:tblW w:w="963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35"/>
      </w:tblGrid>
      <w:tr w:rsidR="009F5D13" w14:paraId="5EE6D2F7" w14:textId="77777777">
        <w:trPr>
          <w:trHeight w:val="1544"/>
        </w:trPr>
        <w:tc>
          <w:tcPr>
            <w:tcW w:w="9635" w:type="dxa"/>
            <w:shd w:val="clear" w:color="auto" w:fill="F2DCDC" w:themeFill="accent2" w:themeFillTint="32"/>
          </w:tcPr>
          <w:p w14:paraId="01A3AC78" w14:textId="7651F7D1" w:rsidR="009F5D13" w:rsidRDefault="00633BE6">
            <w:pPr>
              <w:spacing w:line="360" w:lineRule="auto"/>
              <w:jc w:val="left"/>
              <w:rPr>
                <w:b/>
                <w:bCs/>
                <w:szCs w:val="21"/>
              </w:rPr>
            </w:pPr>
            <w:r>
              <w:rPr>
                <w:rFonts w:hint="eastAsia"/>
                <w:b/>
                <w:bCs/>
                <w:szCs w:val="21"/>
              </w:rPr>
              <w:lastRenderedPageBreak/>
              <w:t>温馨提</w:t>
            </w:r>
            <w:r w:rsidR="00520B20">
              <w:rPr>
                <w:rFonts w:hint="eastAsia"/>
                <w:b/>
                <w:bCs/>
                <w:szCs w:val="21"/>
              </w:rPr>
              <w:t>示</w:t>
            </w:r>
            <w:r>
              <w:rPr>
                <w:rFonts w:hint="eastAsia"/>
                <w:b/>
                <w:bCs/>
                <w:szCs w:val="21"/>
              </w:rPr>
              <w:t>：</w:t>
            </w:r>
          </w:p>
          <w:p w14:paraId="7F1C2885" w14:textId="5DB2907A" w:rsidR="009F5D13" w:rsidRDefault="00633BE6">
            <w:pPr>
              <w:spacing w:line="360" w:lineRule="auto"/>
              <w:jc w:val="left"/>
              <w:rPr>
                <w:b/>
                <w:bCs/>
                <w:szCs w:val="21"/>
              </w:rPr>
            </w:pPr>
            <w:r>
              <w:rPr>
                <w:rFonts w:hint="eastAsia"/>
                <w:b/>
                <w:bCs/>
                <w:szCs w:val="21"/>
              </w:rPr>
              <w:t>1.</w:t>
            </w:r>
            <w:r>
              <w:rPr>
                <w:rFonts w:hint="eastAsia"/>
                <w:b/>
                <w:bCs/>
                <w:szCs w:val="21"/>
              </w:rPr>
              <w:t>离心管</w:t>
            </w:r>
            <w:r>
              <w:rPr>
                <w:rFonts w:hint="eastAsia"/>
                <w:b/>
                <w:bCs/>
                <w:szCs w:val="21"/>
              </w:rPr>
              <w:t>1</w:t>
            </w:r>
            <w:r>
              <w:rPr>
                <w:rFonts w:hint="eastAsia"/>
                <w:b/>
                <w:bCs/>
                <w:szCs w:val="21"/>
              </w:rPr>
              <w:t>、</w:t>
            </w:r>
            <w:r>
              <w:rPr>
                <w:rFonts w:hint="eastAsia"/>
                <w:b/>
                <w:bCs/>
                <w:szCs w:val="21"/>
              </w:rPr>
              <w:t>2</w:t>
            </w:r>
            <w:r>
              <w:rPr>
                <w:rFonts w:hint="eastAsia"/>
                <w:b/>
                <w:bCs/>
                <w:szCs w:val="21"/>
              </w:rPr>
              <w:t>、</w:t>
            </w:r>
            <w:r>
              <w:rPr>
                <w:rFonts w:hint="eastAsia"/>
                <w:b/>
                <w:bCs/>
                <w:szCs w:val="21"/>
              </w:rPr>
              <w:t>3</w:t>
            </w:r>
            <w:r>
              <w:rPr>
                <w:rFonts w:hint="eastAsia"/>
                <w:b/>
                <w:bCs/>
                <w:szCs w:val="21"/>
              </w:rPr>
              <w:t>在混合细胞时</w:t>
            </w:r>
            <w:r w:rsidR="00520B20">
              <w:rPr>
                <w:rFonts w:hint="eastAsia"/>
                <w:b/>
                <w:bCs/>
                <w:szCs w:val="21"/>
              </w:rPr>
              <w:t>切忌用时过多</w:t>
            </w:r>
            <w:r>
              <w:rPr>
                <w:rFonts w:hint="eastAsia"/>
                <w:b/>
                <w:bCs/>
                <w:szCs w:val="21"/>
              </w:rPr>
              <w:t>，显微镜计数时也不</w:t>
            </w:r>
            <w:r w:rsidR="00520B20">
              <w:rPr>
                <w:rFonts w:hint="eastAsia"/>
                <w:b/>
                <w:bCs/>
                <w:szCs w:val="21"/>
              </w:rPr>
              <w:t>易</w:t>
            </w:r>
            <w:r>
              <w:rPr>
                <w:rFonts w:hint="eastAsia"/>
                <w:b/>
                <w:bCs/>
                <w:szCs w:val="21"/>
              </w:rPr>
              <w:t>耗时过长</w:t>
            </w:r>
            <w:r w:rsidR="00520B20">
              <w:rPr>
                <w:rFonts w:hint="eastAsia"/>
                <w:b/>
                <w:bCs/>
                <w:szCs w:val="21"/>
              </w:rPr>
              <w:t>，需将</w:t>
            </w:r>
            <w:r>
              <w:rPr>
                <w:rFonts w:hint="eastAsia"/>
                <w:b/>
                <w:bCs/>
                <w:szCs w:val="21"/>
              </w:rPr>
              <w:t>所有</w:t>
            </w:r>
            <w:r w:rsidR="00520B20">
              <w:rPr>
                <w:rFonts w:hint="eastAsia"/>
                <w:b/>
                <w:bCs/>
                <w:szCs w:val="21"/>
              </w:rPr>
              <w:t>实验</w:t>
            </w:r>
            <w:r>
              <w:rPr>
                <w:rFonts w:hint="eastAsia"/>
                <w:b/>
                <w:bCs/>
                <w:szCs w:val="21"/>
              </w:rPr>
              <w:t>材料准备好后再把细胞取出计数；</w:t>
            </w:r>
          </w:p>
          <w:p w14:paraId="764B679B" w14:textId="77777777" w:rsidR="009F5D13" w:rsidRDefault="00633BE6">
            <w:pPr>
              <w:spacing w:line="360" w:lineRule="auto"/>
              <w:jc w:val="left"/>
              <w:rPr>
                <w:b/>
                <w:bCs/>
                <w:szCs w:val="21"/>
              </w:rPr>
            </w:pPr>
            <w:r>
              <w:rPr>
                <w:rFonts w:hint="eastAsia"/>
                <w:b/>
                <w:bCs/>
                <w:szCs w:val="21"/>
              </w:rPr>
              <w:t>2.</w:t>
            </w:r>
            <w:r>
              <w:rPr>
                <w:rFonts w:hint="eastAsia"/>
                <w:b/>
                <w:bCs/>
                <w:szCs w:val="21"/>
              </w:rPr>
              <w:t>管</w:t>
            </w:r>
            <w:r>
              <w:rPr>
                <w:rFonts w:hint="eastAsia"/>
                <w:b/>
                <w:bCs/>
                <w:szCs w:val="21"/>
              </w:rPr>
              <w:t>1</w:t>
            </w:r>
            <w:r>
              <w:rPr>
                <w:rFonts w:hint="eastAsia"/>
                <w:b/>
                <w:bCs/>
                <w:szCs w:val="21"/>
              </w:rPr>
              <w:t>、</w:t>
            </w:r>
            <w:r>
              <w:rPr>
                <w:rFonts w:hint="eastAsia"/>
                <w:b/>
                <w:bCs/>
                <w:szCs w:val="21"/>
              </w:rPr>
              <w:t>2</w:t>
            </w:r>
            <w:r>
              <w:rPr>
                <w:rFonts w:hint="eastAsia"/>
                <w:b/>
                <w:bCs/>
                <w:szCs w:val="21"/>
              </w:rPr>
              <w:t>、</w:t>
            </w:r>
            <w:r>
              <w:rPr>
                <w:rFonts w:hint="eastAsia"/>
                <w:b/>
                <w:bCs/>
                <w:szCs w:val="21"/>
              </w:rPr>
              <w:t>3</w:t>
            </w:r>
            <w:r>
              <w:rPr>
                <w:rFonts w:hint="eastAsia"/>
                <w:b/>
                <w:bCs/>
                <w:szCs w:val="21"/>
              </w:rPr>
              <w:t>依次为</w:t>
            </w:r>
            <w:r>
              <w:rPr>
                <w:rFonts w:hint="eastAsia"/>
                <w:b/>
                <w:bCs/>
                <w:szCs w:val="21"/>
              </w:rPr>
              <w:t>10</w:t>
            </w:r>
            <w:r>
              <w:rPr>
                <w:rFonts w:hint="eastAsia"/>
                <w:b/>
                <w:bCs/>
                <w:szCs w:val="21"/>
              </w:rPr>
              <w:t>倍关系，当管</w:t>
            </w:r>
            <w:r>
              <w:rPr>
                <w:rFonts w:hint="eastAsia"/>
                <w:b/>
                <w:bCs/>
                <w:szCs w:val="21"/>
              </w:rPr>
              <w:t>3</w:t>
            </w:r>
            <w:r>
              <w:rPr>
                <w:rFonts w:hint="eastAsia"/>
                <w:b/>
                <w:bCs/>
                <w:szCs w:val="21"/>
              </w:rPr>
              <w:t>细胞量不够时，可按倍数吸取管</w:t>
            </w:r>
            <w:r>
              <w:rPr>
                <w:rFonts w:hint="eastAsia"/>
                <w:b/>
                <w:bCs/>
                <w:szCs w:val="21"/>
              </w:rPr>
              <w:t>2</w:t>
            </w:r>
            <w:r>
              <w:rPr>
                <w:rFonts w:hint="eastAsia"/>
                <w:b/>
                <w:bCs/>
                <w:szCs w:val="21"/>
              </w:rPr>
              <w:t>中细胞混合液；若管</w:t>
            </w:r>
            <w:r>
              <w:rPr>
                <w:rFonts w:hint="eastAsia"/>
                <w:b/>
                <w:bCs/>
                <w:szCs w:val="21"/>
              </w:rPr>
              <w:t>2</w:t>
            </w:r>
            <w:r>
              <w:rPr>
                <w:rFonts w:hint="eastAsia"/>
                <w:b/>
                <w:bCs/>
                <w:szCs w:val="21"/>
              </w:rPr>
              <w:t>细胞量不够时，同理可吸取管</w:t>
            </w:r>
            <w:r>
              <w:rPr>
                <w:rFonts w:hint="eastAsia"/>
                <w:b/>
                <w:bCs/>
                <w:szCs w:val="21"/>
              </w:rPr>
              <w:t>1</w:t>
            </w:r>
            <w:r>
              <w:rPr>
                <w:rFonts w:hint="eastAsia"/>
                <w:b/>
                <w:bCs/>
                <w:szCs w:val="21"/>
              </w:rPr>
              <w:t>或管</w:t>
            </w:r>
            <w:r>
              <w:rPr>
                <w:rFonts w:hint="eastAsia"/>
                <w:b/>
                <w:bCs/>
                <w:szCs w:val="21"/>
              </w:rPr>
              <w:t>3</w:t>
            </w:r>
            <w:r>
              <w:rPr>
                <w:rFonts w:hint="eastAsia"/>
                <w:b/>
                <w:bCs/>
                <w:szCs w:val="21"/>
              </w:rPr>
              <w:t>中细胞混合液；</w:t>
            </w:r>
          </w:p>
          <w:p w14:paraId="45D2A343" w14:textId="77777777" w:rsidR="009F5D13" w:rsidRDefault="00633BE6">
            <w:pPr>
              <w:spacing w:line="360" w:lineRule="auto"/>
              <w:jc w:val="left"/>
              <w:rPr>
                <w:b/>
                <w:bCs/>
                <w:szCs w:val="21"/>
              </w:rPr>
            </w:pPr>
            <w:r>
              <w:rPr>
                <w:rFonts w:hint="eastAsia"/>
                <w:b/>
                <w:bCs/>
                <w:szCs w:val="21"/>
              </w:rPr>
              <w:t>3.</w:t>
            </w:r>
            <w:r>
              <w:rPr>
                <w:rFonts w:hint="eastAsia"/>
                <w:b/>
                <w:bCs/>
                <w:szCs w:val="21"/>
              </w:rPr>
              <w:t>在</w:t>
            </w:r>
            <w:r>
              <w:rPr>
                <w:rFonts w:hint="eastAsia"/>
                <w:b/>
                <w:bCs/>
                <w:szCs w:val="21"/>
              </w:rPr>
              <w:t>1.5ml</w:t>
            </w:r>
            <w:r>
              <w:rPr>
                <w:rFonts w:hint="eastAsia"/>
                <w:b/>
                <w:bCs/>
                <w:szCs w:val="21"/>
              </w:rPr>
              <w:t>离心管混匀细胞液时尽量不要吹打，上下颠倒数次即可；</w:t>
            </w:r>
          </w:p>
          <w:p w14:paraId="3CCE2838" w14:textId="3DBB20DF" w:rsidR="009F5D13" w:rsidRDefault="00633BE6">
            <w:pPr>
              <w:spacing w:line="360" w:lineRule="auto"/>
              <w:jc w:val="left"/>
              <w:rPr>
                <w:b/>
                <w:bCs/>
                <w:szCs w:val="21"/>
              </w:rPr>
            </w:pPr>
            <w:r>
              <w:rPr>
                <w:rFonts w:hint="eastAsia"/>
                <w:b/>
                <w:bCs/>
                <w:szCs w:val="21"/>
              </w:rPr>
              <w:t>4.</w:t>
            </w:r>
            <w:r>
              <w:rPr>
                <w:rFonts w:hint="eastAsia"/>
                <w:b/>
                <w:bCs/>
                <w:szCs w:val="21"/>
              </w:rPr>
              <w:t>在进行第一次克隆（多克隆）时</w:t>
            </w:r>
            <w:r w:rsidR="00520B20">
              <w:rPr>
                <w:rFonts w:hint="eastAsia"/>
                <w:b/>
                <w:bCs/>
                <w:szCs w:val="21"/>
              </w:rPr>
              <w:t>，</w:t>
            </w:r>
            <w:r>
              <w:rPr>
                <w:rFonts w:hint="eastAsia"/>
                <w:b/>
                <w:bCs/>
                <w:szCs w:val="21"/>
              </w:rPr>
              <w:t>克隆稳转的细胞</w:t>
            </w:r>
            <w:r w:rsidR="00520B20">
              <w:rPr>
                <w:rFonts w:hint="eastAsia"/>
                <w:b/>
                <w:bCs/>
                <w:szCs w:val="21"/>
              </w:rPr>
              <w:t>需</w:t>
            </w:r>
            <w:r>
              <w:rPr>
                <w:rFonts w:hint="eastAsia"/>
                <w:b/>
                <w:bCs/>
                <w:szCs w:val="21"/>
              </w:rPr>
              <w:t>计数并离心换液，以除去</w:t>
            </w:r>
            <w:r>
              <w:rPr>
                <w:rFonts w:hint="eastAsia"/>
                <w:b/>
                <w:bCs/>
                <w:szCs w:val="21"/>
              </w:rPr>
              <w:t>G418</w:t>
            </w:r>
            <w:r>
              <w:rPr>
                <w:rFonts w:hint="eastAsia"/>
                <w:b/>
                <w:bCs/>
                <w:szCs w:val="21"/>
              </w:rPr>
              <w:t>的影响；</w:t>
            </w:r>
          </w:p>
          <w:p w14:paraId="4BE9AEE1" w14:textId="3AA66B0A" w:rsidR="009F5D13" w:rsidRDefault="00633BE6">
            <w:pPr>
              <w:spacing w:line="360" w:lineRule="auto"/>
              <w:jc w:val="left"/>
              <w:rPr>
                <w:b/>
                <w:bCs/>
                <w:szCs w:val="21"/>
              </w:rPr>
            </w:pPr>
            <w:r>
              <w:rPr>
                <w:rFonts w:hint="eastAsia"/>
                <w:b/>
                <w:bCs/>
                <w:szCs w:val="21"/>
              </w:rPr>
              <w:t>5.</w:t>
            </w:r>
            <w:r>
              <w:rPr>
                <w:rFonts w:hint="eastAsia"/>
                <w:b/>
                <w:bCs/>
                <w:szCs w:val="21"/>
              </w:rPr>
              <w:t>第一次克隆（多克隆）</w:t>
            </w:r>
            <w:r w:rsidR="00DA0473">
              <w:rPr>
                <w:rFonts w:hint="eastAsia"/>
                <w:b/>
                <w:bCs/>
                <w:szCs w:val="21"/>
              </w:rPr>
              <w:t>实验</w:t>
            </w:r>
            <w:r>
              <w:rPr>
                <w:rFonts w:hint="eastAsia"/>
                <w:b/>
                <w:bCs/>
                <w:szCs w:val="21"/>
              </w:rPr>
              <w:t>在显微镜下计数</w:t>
            </w:r>
            <w:r w:rsidR="00DA0473">
              <w:rPr>
                <w:rFonts w:hint="eastAsia"/>
                <w:b/>
                <w:bCs/>
                <w:szCs w:val="21"/>
              </w:rPr>
              <w:t>时，因未做台盼蓝染色，</w:t>
            </w:r>
            <w:r>
              <w:rPr>
                <w:rFonts w:hint="eastAsia"/>
                <w:b/>
                <w:bCs/>
                <w:szCs w:val="21"/>
              </w:rPr>
              <w:t>死</w:t>
            </w:r>
            <w:r w:rsidR="00DA0473">
              <w:rPr>
                <w:rFonts w:hint="eastAsia"/>
                <w:b/>
                <w:bCs/>
                <w:szCs w:val="21"/>
              </w:rPr>
              <w:t>、</w:t>
            </w:r>
            <w:r>
              <w:rPr>
                <w:rFonts w:hint="eastAsia"/>
                <w:b/>
                <w:bCs/>
                <w:szCs w:val="21"/>
              </w:rPr>
              <w:t>活细胞一</w:t>
            </w:r>
            <w:r w:rsidR="00DA0473">
              <w:rPr>
                <w:rFonts w:hint="eastAsia"/>
                <w:b/>
                <w:bCs/>
                <w:szCs w:val="21"/>
              </w:rPr>
              <w:t>并计数</w:t>
            </w:r>
            <w:r>
              <w:rPr>
                <w:rFonts w:hint="eastAsia"/>
                <w:b/>
                <w:bCs/>
                <w:szCs w:val="21"/>
              </w:rPr>
              <w:t>，因此计算所需细胞液体积时</w:t>
            </w:r>
            <w:r w:rsidR="00DA0473">
              <w:rPr>
                <w:rFonts w:hint="eastAsia"/>
                <w:b/>
                <w:bCs/>
                <w:szCs w:val="21"/>
              </w:rPr>
              <w:t>，需</w:t>
            </w:r>
            <w:r>
              <w:rPr>
                <w:rFonts w:hint="eastAsia"/>
                <w:b/>
                <w:bCs/>
                <w:szCs w:val="21"/>
              </w:rPr>
              <w:t>要乘以</w:t>
            </w:r>
            <w:r w:rsidR="00DA0473">
              <w:rPr>
                <w:rFonts w:hint="eastAsia"/>
                <w:b/>
                <w:bCs/>
                <w:szCs w:val="21"/>
              </w:rPr>
              <w:t>细胞</w:t>
            </w:r>
            <w:r>
              <w:rPr>
                <w:rFonts w:hint="eastAsia"/>
                <w:b/>
                <w:bCs/>
                <w:szCs w:val="21"/>
              </w:rPr>
              <w:t>活率</w:t>
            </w:r>
            <w:r w:rsidR="00DA0473">
              <w:rPr>
                <w:rFonts w:hint="eastAsia"/>
                <w:b/>
                <w:bCs/>
                <w:szCs w:val="21"/>
              </w:rPr>
              <w:t>。</w:t>
            </w:r>
          </w:p>
        </w:tc>
      </w:tr>
    </w:tbl>
    <w:p w14:paraId="583836C7" w14:textId="77777777" w:rsidR="009F5D13" w:rsidRDefault="00633BE6">
      <w:pPr>
        <w:pStyle w:val="ListParagraph"/>
        <w:spacing w:line="360" w:lineRule="auto"/>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）将步骤（</w:t>
      </w:r>
      <w:r>
        <w:rPr>
          <w:rFonts w:ascii="Times New Roman" w:hAnsi="Times New Roman"/>
          <w:szCs w:val="21"/>
        </w:rPr>
        <w:t>2</w:t>
      </w:r>
      <w:r>
        <w:rPr>
          <w:rFonts w:ascii="Times New Roman" w:hAnsi="Times New Roman"/>
          <w:szCs w:val="21"/>
        </w:rPr>
        <w:t>）中混合好的细胞混合液分多次混匀后倒入</w:t>
      </w:r>
      <w:r>
        <w:rPr>
          <w:rFonts w:ascii="Times New Roman" w:hAnsi="Times New Roman"/>
          <w:szCs w:val="21"/>
        </w:rPr>
        <w:t>12</w:t>
      </w:r>
      <w:r>
        <w:rPr>
          <w:rFonts w:ascii="Times New Roman" w:hAnsi="Times New Roman"/>
          <w:szCs w:val="21"/>
        </w:rPr>
        <w:t>道管槽中，用</w:t>
      </w:r>
      <w:r>
        <w:rPr>
          <w:rFonts w:ascii="Times New Roman" w:hAnsi="Times New Roman"/>
          <w:szCs w:val="21"/>
        </w:rPr>
        <w:t>12</w:t>
      </w:r>
      <w:r>
        <w:rPr>
          <w:rFonts w:ascii="Times New Roman" w:hAnsi="Times New Roman"/>
          <w:szCs w:val="21"/>
        </w:rPr>
        <w:t>道排枪吸取</w:t>
      </w:r>
      <w:r>
        <w:rPr>
          <w:rFonts w:ascii="Times New Roman" w:hAnsi="Times New Roman"/>
          <w:szCs w:val="21"/>
        </w:rPr>
        <w:t>150µl/</w:t>
      </w:r>
      <w:r>
        <w:rPr>
          <w:rFonts w:ascii="Times New Roman" w:hAnsi="Times New Roman"/>
          <w:szCs w:val="21"/>
        </w:rPr>
        <w:t>孔加入到</w:t>
      </w:r>
      <w:r>
        <w:rPr>
          <w:rFonts w:ascii="Times New Roman" w:hAnsi="Times New Roman"/>
          <w:szCs w:val="21"/>
        </w:rPr>
        <w:t>96</w:t>
      </w:r>
      <w:r>
        <w:rPr>
          <w:rFonts w:ascii="Times New Roman" w:hAnsi="Times New Roman"/>
          <w:szCs w:val="21"/>
        </w:rPr>
        <w:t>孔板中，铺三板。置于</w:t>
      </w:r>
      <w:r>
        <w:rPr>
          <w:rFonts w:ascii="Times New Roman" w:hAnsi="Times New Roman"/>
          <w:szCs w:val="21"/>
        </w:rPr>
        <w:t>37℃</w:t>
      </w:r>
      <w:r>
        <w:rPr>
          <w:rFonts w:ascii="Times New Roman" w:hAnsi="Times New Roman"/>
          <w:szCs w:val="21"/>
        </w:rPr>
        <w:t>、</w:t>
      </w:r>
      <w:r>
        <w:rPr>
          <w:rFonts w:ascii="Times New Roman" w:hAnsi="Times New Roman"/>
          <w:szCs w:val="21"/>
        </w:rPr>
        <w:t>5%</w:t>
      </w:r>
      <w:r>
        <w:rPr>
          <w:rFonts w:ascii="Times New Roman" w:hAnsi="Times New Roman"/>
          <w:szCs w:val="21"/>
        </w:rPr>
        <w:t>的</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培养箱中静置培养，保持一周不动；</w:t>
      </w:r>
    </w:p>
    <w:tbl>
      <w:tblPr>
        <w:tblStyle w:val="TableGrid"/>
        <w:tblpPr w:leftFromText="180" w:rightFromText="180" w:vertAnchor="text" w:tblpX="104" w:tblpY="29"/>
        <w:tblOverlap w:val="never"/>
        <w:tblW w:w="963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35"/>
      </w:tblGrid>
      <w:tr w:rsidR="009F5D13" w14:paraId="0109AA9E" w14:textId="77777777">
        <w:trPr>
          <w:trHeight w:val="1199"/>
        </w:trPr>
        <w:tc>
          <w:tcPr>
            <w:tcW w:w="9635" w:type="dxa"/>
            <w:shd w:val="clear" w:color="auto" w:fill="F2DCDC" w:themeFill="accent2" w:themeFillTint="32"/>
          </w:tcPr>
          <w:p w14:paraId="7F9A6374" w14:textId="77777777" w:rsidR="009F5D13" w:rsidRDefault="00633BE6">
            <w:pPr>
              <w:spacing w:line="360" w:lineRule="auto"/>
              <w:jc w:val="left"/>
              <w:rPr>
                <w:b/>
                <w:bCs/>
                <w:szCs w:val="21"/>
              </w:rPr>
            </w:pPr>
            <w:r>
              <w:rPr>
                <w:rFonts w:hint="eastAsia"/>
                <w:b/>
                <w:bCs/>
                <w:szCs w:val="21"/>
              </w:rPr>
              <w:t>温馨提醒：</w:t>
            </w:r>
          </w:p>
          <w:p w14:paraId="60E6604F" w14:textId="23911D8D" w:rsidR="009F5D13" w:rsidRDefault="00633BE6">
            <w:pPr>
              <w:spacing w:line="360" w:lineRule="auto"/>
              <w:jc w:val="left"/>
              <w:rPr>
                <w:b/>
                <w:bCs/>
                <w:szCs w:val="21"/>
              </w:rPr>
            </w:pPr>
            <w:r>
              <w:rPr>
                <w:rFonts w:hint="eastAsia"/>
                <w:b/>
                <w:bCs/>
                <w:szCs w:val="21"/>
              </w:rPr>
              <w:t>1.</w:t>
            </w:r>
            <w:r w:rsidR="00DA0473">
              <w:rPr>
                <w:rFonts w:hint="eastAsia"/>
                <w:b/>
                <w:bCs/>
                <w:szCs w:val="21"/>
              </w:rPr>
              <w:t>铺板</w:t>
            </w:r>
            <w:r>
              <w:rPr>
                <w:b/>
                <w:bCs/>
                <w:szCs w:val="21"/>
              </w:rPr>
              <w:t>接种时，</w:t>
            </w:r>
            <w:r>
              <w:rPr>
                <w:rFonts w:hint="eastAsia"/>
                <w:b/>
                <w:bCs/>
                <w:szCs w:val="21"/>
              </w:rPr>
              <w:t>倒</w:t>
            </w:r>
            <w:r>
              <w:rPr>
                <w:b/>
                <w:bCs/>
                <w:szCs w:val="21"/>
              </w:rPr>
              <w:t>出的细胞混合液每次大概倒一板的细胞液到</w:t>
            </w:r>
            <w:r>
              <w:rPr>
                <w:b/>
                <w:bCs/>
                <w:szCs w:val="21"/>
              </w:rPr>
              <w:t>12</w:t>
            </w:r>
            <w:r>
              <w:rPr>
                <w:b/>
                <w:bCs/>
                <w:szCs w:val="21"/>
              </w:rPr>
              <w:t>道管槽中，</w:t>
            </w:r>
            <w:r w:rsidR="00DA0473">
              <w:rPr>
                <w:rFonts w:hint="eastAsia"/>
                <w:b/>
                <w:bCs/>
                <w:szCs w:val="21"/>
              </w:rPr>
              <w:t>依次完成每块板的接种</w:t>
            </w:r>
            <w:r>
              <w:rPr>
                <w:rFonts w:hint="eastAsia"/>
                <w:b/>
                <w:bCs/>
                <w:szCs w:val="21"/>
              </w:rPr>
              <w:t>，</w:t>
            </w:r>
            <w:r>
              <w:rPr>
                <w:b/>
                <w:bCs/>
                <w:szCs w:val="21"/>
              </w:rPr>
              <w:t>接种时尽量不吹打细胞</w:t>
            </w:r>
            <w:r>
              <w:rPr>
                <w:rFonts w:hint="eastAsia"/>
                <w:b/>
                <w:bCs/>
                <w:szCs w:val="21"/>
              </w:rPr>
              <w:t>，以</w:t>
            </w:r>
            <w:r w:rsidR="00DA0473">
              <w:rPr>
                <w:rFonts w:hint="eastAsia"/>
                <w:b/>
                <w:bCs/>
                <w:szCs w:val="21"/>
              </w:rPr>
              <w:t>维持</w:t>
            </w:r>
            <w:r>
              <w:rPr>
                <w:rFonts w:hint="eastAsia"/>
                <w:b/>
                <w:bCs/>
                <w:szCs w:val="21"/>
              </w:rPr>
              <w:t>细胞的活性。</w:t>
            </w:r>
          </w:p>
        </w:tc>
      </w:tr>
    </w:tbl>
    <w:p w14:paraId="6AE322CC" w14:textId="721DC914" w:rsidR="009F5D13" w:rsidRDefault="00633BE6">
      <w:pPr>
        <w:pStyle w:val="ListParagraph"/>
        <w:spacing w:line="360" w:lineRule="auto"/>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sidR="00DA0473">
        <w:rPr>
          <w:rFonts w:ascii="Times New Roman" w:hAnsi="Times New Roman" w:hint="eastAsia"/>
          <w:szCs w:val="21"/>
        </w:rPr>
        <w:t>完成铺板后，可在显微镜下逐孔观察细胞个数，标记单个细胞孔。</w:t>
      </w:r>
      <w:r>
        <w:rPr>
          <w:rFonts w:ascii="Times New Roman" w:hAnsi="Times New Roman" w:hint="eastAsia"/>
          <w:szCs w:val="21"/>
        </w:rPr>
        <w:t>一</w:t>
      </w:r>
      <w:r>
        <w:rPr>
          <w:rFonts w:ascii="Times New Roman" w:hAnsi="Times New Roman"/>
          <w:szCs w:val="21"/>
        </w:rPr>
        <w:t>周之后观察细胞，</w:t>
      </w:r>
      <w:r w:rsidR="00DA0473">
        <w:rPr>
          <w:rFonts w:ascii="Times New Roman" w:hAnsi="Times New Roman" w:hint="eastAsia"/>
          <w:szCs w:val="21"/>
        </w:rPr>
        <w:t>标记</w:t>
      </w:r>
      <w:r>
        <w:rPr>
          <w:rFonts w:ascii="Times New Roman" w:hAnsi="Times New Roman"/>
          <w:szCs w:val="21"/>
        </w:rPr>
        <w:t>长势较佳的孔，</w:t>
      </w:r>
      <w:r w:rsidR="00DA0473">
        <w:rPr>
          <w:rFonts w:ascii="Times New Roman" w:hAnsi="Times New Roman" w:hint="eastAsia"/>
          <w:szCs w:val="21"/>
        </w:rPr>
        <w:t>方便后续重点观察。</w:t>
      </w:r>
      <w:r>
        <w:rPr>
          <w:rFonts w:ascii="Times New Roman" w:hAnsi="Times New Roman"/>
          <w:szCs w:val="21"/>
        </w:rPr>
        <w:t>继续让细胞生长</w:t>
      </w:r>
      <w:r>
        <w:rPr>
          <w:rFonts w:ascii="Times New Roman" w:hAnsi="Times New Roman"/>
          <w:szCs w:val="21"/>
        </w:rPr>
        <w:t>3-7</w:t>
      </w:r>
      <w:r>
        <w:rPr>
          <w:rFonts w:ascii="Times New Roman" w:hAnsi="Times New Roman"/>
          <w:szCs w:val="21"/>
        </w:rPr>
        <w:t>天后，将</w:t>
      </w:r>
      <w:r w:rsidR="00DA0473">
        <w:rPr>
          <w:rFonts w:ascii="Times New Roman" w:hAnsi="Times New Roman" w:hint="eastAsia"/>
          <w:szCs w:val="21"/>
        </w:rPr>
        <w:t>由</w:t>
      </w:r>
      <w:r>
        <w:rPr>
          <w:rFonts w:ascii="Times New Roman" w:hAnsi="Times New Roman"/>
          <w:szCs w:val="21"/>
        </w:rPr>
        <w:t>单个细胞分裂的孔内细胞扩大到</w:t>
      </w:r>
      <w:r>
        <w:rPr>
          <w:rFonts w:ascii="Times New Roman" w:hAnsi="Times New Roman"/>
          <w:szCs w:val="21"/>
        </w:rPr>
        <w:t>48</w:t>
      </w:r>
      <w:r>
        <w:rPr>
          <w:rFonts w:ascii="Times New Roman" w:hAnsi="Times New Roman"/>
          <w:szCs w:val="21"/>
        </w:rPr>
        <w:t>或</w:t>
      </w:r>
      <w:r>
        <w:rPr>
          <w:rFonts w:ascii="Times New Roman" w:hAnsi="Times New Roman"/>
          <w:szCs w:val="21"/>
        </w:rPr>
        <w:t>24</w:t>
      </w:r>
      <w:r>
        <w:rPr>
          <w:rFonts w:ascii="Times New Roman" w:hAnsi="Times New Roman"/>
          <w:szCs w:val="21"/>
        </w:rPr>
        <w:t>孔板中培养，并向</w:t>
      </w:r>
      <w:r>
        <w:rPr>
          <w:rFonts w:ascii="Times New Roman" w:hAnsi="Times New Roman"/>
          <w:szCs w:val="21"/>
        </w:rPr>
        <w:t>48</w:t>
      </w:r>
      <w:r>
        <w:rPr>
          <w:rFonts w:ascii="Times New Roman" w:hAnsi="Times New Roman"/>
          <w:szCs w:val="21"/>
        </w:rPr>
        <w:t>或</w:t>
      </w:r>
      <w:r>
        <w:rPr>
          <w:rFonts w:ascii="Times New Roman" w:hAnsi="Times New Roman"/>
          <w:szCs w:val="21"/>
        </w:rPr>
        <w:t>24</w:t>
      </w:r>
      <w:r>
        <w:rPr>
          <w:rFonts w:ascii="Times New Roman" w:hAnsi="Times New Roman"/>
          <w:szCs w:val="21"/>
        </w:rPr>
        <w:t>孔板中添加</w:t>
      </w:r>
      <w:r>
        <w:rPr>
          <w:rFonts w:ascii="Times New Roman" w:hAnsi="Times New Roman"/>
          <w:szCs w:val="21"/>
        </w:rPr>
        <w:t>0.25-0.5ml/</w:t>
      </w:r>
      <w:r>
        <w:rPr>
          <w:rFonts w:ascii="Times New Roman" w:hAnsi="Times New Roman"/>
          <w:szCs w:val="21"/>
        </w:rPr>
        <w:t>孔的对应培养基，</w:t>
      </w:r>
      <w:r>
        <w:rPr>
          <w:rFonts w:ascii="Times New Roman" w:hAnsi="Times New Roman"/>
          <w:szCs w:val="21"/>
        </w:rPr>
        <w:t>7-10</w:t>
      </w:r>
      <w:r>
        <w:rPr>
          <w:rFonts w:ascii="Times New Roman" w:hAnsi="Times New Roman"/>
          <w:szCs w:val="21"/>
        </w:rPr>
        <w:t>天后补</w:t>
      </w:r>
      <w:r w:rsidR="00DA0473">
        <w:rPr>
          <w:rFonts w:ascii="Times New Roman" w:hAnsi="Times New Roman" w:hint="eastAsia"/>
          <w:szCs w:val="21"/>
        </w:rPr>
        <w:t>充</w:t>
      </w:r>
      <w:r>
        <w:rPr>
          <w:rFonts w:ascii="Times New Roman" w:hAnsi="Times New Roman"/>
          <w:szCs w:val="21"/>
        </w:rPr>
        <w:t>0.25-0.5ml</w:t>
      </w:r>
      <w:r>
        <w:rPr>
          <w:rFonts w:ascii="Times New Roman" w:hAnsi="Times New Roman"/>
          <w:szCs w:val="21"/>
        </w:rPr>
        <w:t>的对应培养基，等细胞汇合率约为</w:t>
      </w:r>
      <w:r>
        <w:rPr>
          <w:rFonts w:ascii="Times New Roman" w:hAnsi="Times New Roman"/>
          <w:szCs w:val="21"/>
        </w:rPr>
        <w:t>60-80%</w:t>
      </w:r>
      <w:r>
        <w:rPr>
          <w:rFonts w:ascii="Times New Roman" w:hAnsi="Times New Roman"/>
          <w:szCs w:val="21"/>
        </w:rPr>
        <w:t>时扩大到</w:t>
      </w:r>
      <w:r>
        <w:rPr>
          <w:rFonts w:ascii="Times New Roman" w:hAnsi="Times New Roman"/>
          <w:szCs w:val="21"/>
        </w:rPr>
        <w:t>6</w:t>
      </w:r>
      <w:r>
        <w:rPr>
          <w:rFonts w:ascii="Times New Roman" w:hAnsi="Times New Roman"/>
          <w:szCs w:val="21"/>
        </w:rPr>
        <w:t>孔板，</w:t>
      </w:r>
      <w:r>
        <w:rPr>
          <w:rFonts w:ascii="Times New Roman" w:hAnsi="Times New Roman"/>
          <w:szCs w:val="21"/>
        </w:rPr>
        <w:t>2ml/</w:t>
      </w:r>
      <w:r>
        <w:rPr>
          <w:rFonts w:ascii="Times New Roman" w:hAnsi="Times New Roman"/>
          <w:szCs w:val="21"/>
        </w:rPr>
        <w:t>孔培养基培养，以此类推将细胞扩大到</w:t>
      </w:r>
      <w:r>
        <w:rPr>
          <w:rFonts w:ascii="Times New Roman" w:hAnsi="Times New Roman"/>
          <w:szCs w:val="21"/>
        </w:rPr>
        <w:t>T25</w:t>
      </w:r>
      <w:r>
        <w:rPr>
          <w:rFonts w:ascii="Times New Roman" w:hAnsi="Times New Roman"/>
          <w:szCs w:val="21"/>
        </w:rPr>
        <w:t>或</w:t>
      </w:r>
      <w:r>
        <w:rPr>
          <w:rFonts w:ascii="Times New Roman" w:hAnsi="Times New Roman"/>
          <w:szCs w:val="21"/>
        </w:rPr>
        <w:t>T75</w:t>
      </w:r>
      <w:r>
        <w:rPr>
          <w:rFonts w:ascii="Times New Roman" w:hAnsi="Times New Roman"/>
          <w:szCs w:val="21"/>
        </w:rPr>
        <w:t>方瓶或摇瓶中培养；</w:t>
      </w:r>
    </w:p>
    <w:p w14:paraId="26BADD2E" w14:textId="5A2C551B" w:rsidR="009F5D13" w:rsidRDefault="00633BE6">
      <w:pPr>
        <w:pStyle w:val="ListParagraph"/>
        <w:spacing w:line="360" w:lineRule="auto"/>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）细胞</w:t>
      </w:r>
      <w:r w:rsidR="00DA0473">
        <w:rPr>
          <w:rFonts w:ascii="Times New Roman" w:hAnsi="Times New Roman" w:hint="eastAsia"/>
          <w:szCs w:val="21"/>
        </w:rPr>
        <w:t>从</w:t>
      </w:r>
      <w:r w:rsidR="00DA0473">
        <w:rPr>
          <w:rFonts w:ascii="Times New Roman" w:hAnsi="Times New Roman" w:hint="eastAsia"/>
          <w:szCs w:val="21"/>
        </w:rPr>
        <w:t>T</w:t>
      </w:r>
      <w:r w:rsidR="00DA0473">
        <w:rPr>
          <w:rFonts w:ascii="Times New Roman" w:hAnsi="Times New Roman"/>
          <w:szCs w:val="21"/>
        </w:rPr>
        <w:t>75</w:t>
      </w:r>
      <w:r w:rsidR="00DA0473">
        <w:rPr>
          <w:rFonts w:ascii="Times New Roman" w:hAnsi="Times New Roman" w:hint="eastAsia"/>
          <w:szCs w:val="21"/>
        </w:rPr>
        <w:t>瓶</w:t>
      </w:r>
      <w:r>
        <w:rPr>
          <w:rFonts w:ascii="Times New Roman" w:hAnsi="Times New Roman"/>
          <w:szCs w:val="21"/>
        </w:rPr>
        <w:t>扩大到摇瓶</w:t>
      </w:r>
      <w:r w:rsidR="00DA0473">
        <w:rPr>
          <w:rFonts w:ascii="Times New Roman" w:hAnsi="Times New Roman" w:hint="eastAsia"/>
          <w:szCs w:val="21"/>
        </w:rPr>
        <w:t>培养</w:t>
      </w:r>
      <w:r>
        <w:rPr>
          <w:rFonts w:ascii="Times New Roman" w:hAnsi="Times New Roman"/>
          <w:szCs w:val="21"/>
        </w:rPr>
        <w:t>后，经过</w:t>
      </w:r>
      <w:r>
        <w:rPr>
          <w:rFonts w:ascii="Times New Roman" w:hAnsi="Times New Roman"/>
          <w:szCs w:val="21"/>
        </w:rPr>
        <w:t>2</w:t>
      </w:r>
      <w:r>
        <w:rPr>
          <w:rFonts w:ascii="Times New Roman" w:hAnsi="Times New Roman"/>
          <w:szCs w:val="21"/>
        </w:rPr>
        <w:t>周左右的传代，对各个单克隆细胞株进行生长曲线</w:t>
      </w:r>
      <w:r w:rsidR="00DA0473">
        <w:rPr>
          <w:rFonts w:ascii="Times New Roman" w:hAnsi="Times New Roman" w:hint="eastAsia"/>
          <w:szCs w:val="21"/>
        </w:rPr>
        <w:t>以及产物表达量等实验参数对比，</w:t>
      </w:r>
      <w:r>
        <w:rPr>
          <w:rFonts w:ascii="Times New Roman" w:hAnsi="Times New Roman"/>
          <w:szCs w:val="21"/>
        </w:rPr>
        <w:t>筛选出合适的单克隆细胞株。</w:t>
      </w:r>
      <w:r>
        <w:rPr>
          <w:rFonts w:ascii="Times New Roman" w:hAnsi="Times New Roman" w:hint="eastAsia"/>
          <w:szCs w:val="21"/>
        </w:rPr>
        <w:t xml:space="preserve">  </w:t>
      </w:r>
    </w:p>
    <w:tbl>
      <w:tblPr>
        <w:tblStyle w:val="TableGrid"/>
        <w:tblpPr w:leftFromText="180" w:rightFromText="180" w:vertAnchor="text" w:tblpX="93" w:tblpY="207"/>
        <w:tblOverlap w:val="never"/>
        <w:tblW w:w="0" w:type="auto"/>
        <w:shd w:val="clear" w:color="auto" w:fill="F2DCDC" w:themeFill="accent2" w:themeFillTint="32"/>
        <w:tblLook w:val="04A0" w:firstRow="1" w:lastRow="0" w:firstColumn="1" w:lastColumn="0" w:noHBand="0" w:noVBand="1"/>
      </w:tblPr>
      <w:tblGrid>
        <w:gridCol w:w="9608"/>
      </w:tblGrid>
      <w:tr w:rsidR="009F5D13" w14:paraId="11FD42A9" w14:textId="77777777">
        <w:trPr>
          <w:trHeight w:val="1095"/>
        </w:trPr>
        <w:tc>
          <w:tcPr>
            <w:tcW w:w="9658" w:type="dxa"/>
            <w:tcBorders>
              <w:top w:val="dashSmallGap" w:sz="12" w:space="0" w:color="A5A5A5" w:themeColor="background1" w:themeShade="A5"/>
              <w:left w:val="dashSmallGap" w:sz="12" w:space="0" w:color="A5A5A5" w:themeColor="background1" w:themeShade="A5"/>
              <w:bottom w:val="dashSmallGap" w:sz="12" w:space="0" w:color="A5A5A5" w:themeColor="background1" w:themeShade="A5"/>
              <w:right w:val="dashSmallGap" w:sz="12" w:space="0" w:color="A5A5A5" w:themeColor="background1" w:themeShade="A5"/>
            </w:tcBorders>
            <w:shd w:val="clear" w:color="auto" w:fill="F2DCDC" w:themeFill="accent2" w:themeFillTint="32"/>
          </w:tcPr>
          <w:p w14:paraId="69C3F078" w14:textId="77777777" w:rsidR="009F5D13" w:rsidRDefault="00633BE6">
            <w:pPr>
              <w:pStyle w:val="ListParagraph"/>
              <w:spacing w:line="360" w:lineRule="auto"/>
              <w:ind w:firstLineChars="0" w:firstLine="0"/>
              <w:rPr>
                <w:rFonts w:ascii="Times New Roman" w:hAnsi="Times New Roman"/>
                <w:b/>
                <w:bCs/>
                <w:szCs w:val="21"/>
              </w:rPr>
            </w:pPr>
            <w:r>
              <w:rPr>
                <w:rFonts w:ascii="Times New Roman" w:hAnsi="Times New Roman"/>
                <w:b/>
                <w:bCs/>
                <w:szCs w:val="21"/>
              </w:rPr>
              <w:t>操作要点及注意事项：</w:t>
            </w:r>
          </w:p>
          <w:p w14:paraId="1CED25BB" w14:textId="676BC23B" w:rsidR="009F5D13" w:rsidRDefault="00633BE6">
            <w:pPr>
              <w:pStyle w:val="ListParagraph"/>
              <w:spacing w:line="360" w:lineRule="auto"/>
              <w:ind w:firstLineChars="0" w:firstLine="0"/>
              <w:rPr>
                <w:rFonts w:ascii="Times New Roman" w:hAnsi="Times New Roman"/>
                <w:b/>
                <w:bCs/>
                <w:szCs w:val="21"/>
              </w:rPr>
            </w:pPr>
            <w:r>
              <w:rPr>
                <w:rFonts w:ascii="Times New Roman" w:hAnsi="Times New Roman" w:hint="eastAsia"/>
                <w:b/>
                <w:bCs/>
                <w:szCs w:val="21"/>
              </w:rPr>
              <w:t>1.</w:t>
            </w:r>
            <w:r>
              <w:rPr>
                <w:rFonts w:ascii="Times New Roman" w:hAnsi="Times New Roman"/>
                <w:b/>
                <w:bCs/>
                <w:szCs w:val="21"/>
              </w:rPr>
              <w:t>培养箱参数设置建议：温度</w:t>
            </w:r>
            <w:r>
              <w:rPr>
                <w:rFonts w:ascii="Times New Roman" w:hAnsi="Times New Roman"/>
                <w:b/>
                <w:bCs/>
                <w:szCs w:val="21"/>
              </w:rPr>
              <w:t>36-37℃</w:t>
            </w:r>
            <w:r>
              <w:rPr>
                <w:rFonts w:ascii="Times New Roman" w:hAnsi="Times New Roman"/>
                <w:b/>
                <w:bCs/>
                <w:szCs w:val="21"/>
              </w:rPr>
              <w:t>，</w:t>
            </w:r>
            <w:r>
              <w:rPr>
                <w:rFonts w:ascii="Times New Roman" w:hAnsi="Times New Roman"/>
                <w:b/>
                <w:bCs/>
                <w:szCs w:val="21"/>
              </w:rPr>
              <w:t>CO2</w:t>
            </w:r>
            <w:r>
              <w:rPr>
                <w:rFonts w:ascii="Times New Roman" w:hAnsi="Times New Roman"/>
                <w:b/>
                <w:bCs/>
                <w:szCs w:val="21"/>
              </w:rPr>
              <w:t>浓度为</w:t>
            </w:r>
            <w:r>
              <w:rPr>
                <w:rFonts w:ascii="Times New Roman" w:hAnsi="Times New Roman"/>
                <w:b/>
                <w:bCs/>
                <w:szCs w:val="21"/>
              </w:rPr>
              <w:t>5%</w:t>
            </w:r>
            <w:r>
              <w:rPr>
                <w:rFonts w:ascii="Times New Roman" w:hAnsi="Times New Roman"/>
                <w:b/>
                <w:bCs/>
                <w:szCs w:val="21"/>
              </w:rPr>
              <w:t>，静置培养</w:t>
            </w:r>
            <w:r w:rsidR="00DA0473">
              <w:rPr>
                <w:rFonts w:ascii="Times New Roman" w:hAnsi="Times New Roman" w:hint="eastAsia"/>
                <w:b/>
                <w:bCs/>
                <w:szCs w:val="21"/>
              </w:rPr>
              <w:t>；</w:t>
            </w:r>
          </w:p>
          <w:p w14:paraId="50CD2D42" w14:textId="2C073610" w:rsidR="009F5D13" w:rsidRDefault="00633BE6">
            <w:pPr>
              <w:pStyle w:val="Heading1"/>
              <w:spacing w:before="156" w:line="360" w:lineRule="auto"/>
              <w:outlineLvl w:val="0"/>
              <w:rPr>
                <w:bCs/>
                <w:sz w:val="21"/>
                <w:szCs w:val="21"/>
              </w:rPr>
            </w:pPr>
            <w:r>
              <w:rPr>
                <w:rFonts w:hint="eastAsia"/>
                <w:bCs/>
                <w:sz w:val="21"/>
                <w:szCs w:val="21"/>
              </w:rPr>
              <w:t>2.</w:t>
            </w:r>
            <w:r>
              <w:rPr>
                <w:bCs/>
                <w:sz w:val="21"/>
                <w:szCs w:val="21"/>
              </w:rPr>
              <w:t>常见的问题及应对方法</w:t>
            </w:r>
            <w:r w:rsidR="00DA0473">
              <w:rPr>
                <w:rFonts w:hint="eastAsia"/>
                <w:bCs/>
                <w:sz w:val="21"/>
                <w:szCs w:val="21"/>
              </w:rPr>
              <w:t>：</w:t>
            </w:r>
          </w:p>
          <w:p w14:paraId="6A4E0AE6" w14:textId="6AE93033" w:rsidR="009F5D13" w:rsidRDefault="00633BE6">
            <w:pPr>
              <w:pStyle w:val="Heading1"/>
              <w:spacing w:before="156" w:line="360" w:lineRule="auto"/>
              <w:outlineLvl w:val="0"/>
              <w:rPr>
                <w:bCs/>
                <w:sz w:val="21"/>
                <w:szCs w:val="21"/>
              </w:rPr>
            </w:pPr>
            <w:r>
              <w:rPr>
                <w:bCs/>
                <w:sz w:val="21"/>
                <w:szCs w:val="21"/>
              </w:rPr>
              <w:t>a.</w:t>
            </w:r>
            <w:r>
              <w:rPr>
                <w:bCs/>
                <w:sz w:val="21"/>
                <w:szCs w:val="21"/>
              </w:rPr>
              <w:t>克隆率低：其一，可能是由于所克隆的细胞株活性较差，可取对数生长期的细胞株进行克隆，可达到较好的克隆效果。其二，克隆的细胞数少，可适当增加克隆数，提高克隆效率。其三，人为细胞计数产生较大误差，可进行多次计数</w:t>
            </w:r>
            <w:r w:rsidR="000037AF">
              <w:rPr>
                <w:rFonts w:hint="eastAsia"/>
                <w:bCs/>
                <w:sz w:val="21"/>
                <w:szCs w:val="21"/>
              </w:rPr>
              <w:t>，</w:t>
            </w:r>
            <w:r>
              <w:rPr>
                <w:bCs/>
                <w:sz w:val="21"/>
                <w:szCs w:val="21"/>
              </w:rPr>
              <w:t>取平均值，减少误差。</w:t>
            </w:r>
          </w:p>
          <w:p w14:paraId="4F051629" w14:textId="66E9B0C2" w:rsidR="009F5D13" w:rsidRDefault="00633BE6">
            <w:pPr>
              <w:pStyle w:val="Heading1"/>
              <w:spacing w:before="156" w:line="360" w:lineRule="auto"/>
              <w:outlineLvl w:val="0"/>
              <w:rPr>
                <w:bCs/>
                <w:sz w:val="21"/>
                <w:szCs w:val="21"/>
              </w:rPr>
            </w:pPr>
            <w:r>
              <w:rPr>
                <w:bCs/>
                <w:sz w:val="21"/>
                <w:szCs w:val="21"/>
              </w:rPr>
              <w:t>b.</w:t>
            </w:r>
            <w:r>
              <w:rPr>
                <w:bCs/>
                <w:sz w:val="21"/>
                <w:szCs w:val="21"/>
              </w:rPr>
              <w:t>多克隆细胞株多于单克隆细胞株：可能是由于每板的细胞数多、细胞结团或细胞分布不均导致，可适当等细胞不接团时克隆或减少克隆细胞数，并在铺板时经常混匀细胞液。</w:t>
            </w:r>
          </w:p>
          <w:p w14:paraId="112FFF5C" w14:textId="5DFBC83E" w:rsidR="009F5D13" w:rsidRDefault="00633BE6">
            <w:pPr>
              <w:pStyle w:val="Heading1"/>
              <w:spacing w:before="156" w:line="360" w:lineRule="auto"/>
              <w:outlineLvl w:val="0"/>
              <w:rPr>
                <w:bCs/>
                <w:sz w:val="21"/>
                <w:szCs w:val="21"/>
              </w:rPr>
            </w:pPr>
            <w:r>
              <w:rPr>
                <w:bCs/>
                <w:sz w:val="21"/>
                <w:szCs w:val="21"/>
              </w:rPr>
              <w:lastRenderedPageBreak/>
              <w:t>c.</w:t>
            </w:r>
            <w:r>
              <w:rPr>
                <w:bCs/>
                <w:sz w:val="21"/>
                <w:szCs w:val="21"/>
              </w:rPr>
              <w:t>克隆细胞扩大后长不起来：这种情况可能是由于克隆细胞团</w:t>
            </w:r>
            <w:r w:rsidR="000037AF">
              <w:rPr>
                <w:rFonts w:hint="eastAsia"/>
                <w:bCs/>
                <w:sz w:val="21"/>
                <w:szCs w:val="21"/>
              </w:rPr>
              <w:t>在</w:t>
            </w:r>
            <w:r>
              <w:rPr>
                <w:bCs/>
                <w:sz w:val="21"/>
                <w:szCs w:val="21"/>
              </w:rPr>
              <w:t>未达到扩大培养</w:t>
            </w:r>
            <w:r w:rsidR="000037AF">
              <w:rPr>
                <w:rFonts w:hint="eastAsia"/>
                <w:bCs/>
                <w:sz w:val="21"/>
                <w:szCs w:val="21"/>
              </w:rPr>
              <w:t>条件时被</w:t>
            </w:r>
            <w:r>
              <w:rPr>
                <w:bCs/>
                <w:sz w:val="21"/>
                <w:szCs w:val="21"/>
              </w:rPr>
              <w:t>提前扩大</w:t>
            </w:r>
            <w:r w:rsidR="000037AF">
              <w:rPr>
                <w:rFonts w:hint="eastAsia"/>
                <w:bCs/>
                <w:sz w:val="21"/>
                <w:szCs w:val="21"/>
              </w:rPr>
              <w:t>培养所致</w:t>
            </w:r>
            <w:r>
              <w:rPr>
                <w:bCs/>
                <w:sz w:val="21"/>
                <w:szCs w:val="21"/>
              </w:rPr>
              <w:t>。克隆细胞需铺满</w:t>
            </w:r>
            <w:r>
              <w:rPr>
                <w:bCs/>
                <w:sz w:val="21"/>
                <w:szCs w:val="21"/>
              </w:rPr>
              <w:t>96</w:t>
            </w:r>
            <w:r>
              <w:rPr>
                <w:bCs/>
                <w:sz w:val="21"/>
                <w:szCs w:val="21"/>
              </w:rPr>
              <w:t>孔板底部</w:t>
            </w:r>
            <w:r>
              <w:rPr>
                <w:bCs/>
                <w:sz w:val="21"/>
                <w:szCs w:val="21"/>
              </w:rPr>
              <w:t>80%</w:t>
            </w:r>
            <w:r>
              <w:rPr>
                <w:bCs/>
                <w:sz w:val="21"/>
                <w:szCs w:val="21"/>
              </w:rPr>
              <w:t>以上面积时，方可扩大到</w:t>
            </w:r>
            <w:r>
              <w:rPr>
                <w:bCs/>
                <w:sz w:val="21"/>
                <w:szCs w:val="21"/>
              </w:rPr>
              <w:t>48</w:t>
            </w:r>
            <w:r>
              <w:rPr>
                <w:bCs/>
                <w:sz w:val="21"/>
                <w:szCs w:val="21"/>
              </w:rPr>
              <w:t>孔板，再逐一扩大到</w:t>
            </w:r>
            <w:r>
              <w:rPr>
                <w:bCs/>
                <w:sz w:val="21"/>
                <w:szCs w:val="21"/>
              </w:rPr>
              <w:t>24</w:t>
            </w:r>
            <w:r>
              <w:rPr>
                <w:bCs/>
                <w:sz w:val="21"/>
                <w:szCs w:val="21"/>
              </w:rPr>
              <w:t>孔板、</w:t>
            </w:r>
            <w:r>
              <w:rPr>
                <w:bCs/>
                <w:sz w:val="21"/>
                <w:szCs w:val="21"/>
              </w:rPr>
              <w:t>6</w:t>
            </w:r>
            <w:r>
              <w:rPr>
                <w:bCs/>
                <w:sz w:val="21"/>
                <w:szCs w:val="21"/>
              </w:rPr>
              <w:t>孔板等。</w:t>
            </w:r>
          </w:p>
          <w:p w14:paraId="79642570" w14:textId="778023D1" w:rsidR="009F5D13" w:rsidRDefault="00633BE6">
            <w:pPr>
              <w:pStyle w:val="Heading1"/>
              <w:spacing w:before="156" w:line="360" w:lineRule="auto"/>
              <w:outlineLvl w:val="0"/>
              <w:rPr>
                <w:sz w:val="21"/>
                <w:szCs w:val="21"/>
              </w:rPr>
            </w:pPr>
            <w:r>
              <w:rPr>
                <w:bCs/>
                <w:sz w:val="21"/>
                <w:szCs w:val="21"/>
              </w:rPr>
              <w:t>d.</w:t>
            </w:r>
            <w:r>
              <w:rPr>
                <w:bCs/>
                <w:sz w:val="21"/>
                <w:szCs w:val="21"/>
              </w:rPr>
              <w:t>克隆细胞分裂终止：铺板培养</w:t>
            </w:r>
            <w:r>
              <w:rPr>
                <w:bCs/>
                <w:sz w:val="21"/>
                <w:szCs w:val="21"/>
              </w:rPr>
              <w:t>1</w:t>
            </w:r>
            <w:r>
              <w:rPr>
                <w:bCs/>
                <w:sz w:val="21"/>
                <w:szCs w:val="21"/>
              </w:rPr>
              <w:t>周后挑选克隆时，如遇到克隆分裂终止，单个细胞团细胞为个数，可能是由于铺板前稀释细胞进行吹打或大力混匀细胞导致细胞受损，生长受到抑制，因此在稀释细胞时动作务必轻柔，切记</w:t>
            </w:r>
            <w:r w:rsidR="000037AF">
              <w:rPr>
                <w:rFonts w:hint="eastAsia"/>
                <w:bCs/>
                <w:sz w:val="21"/>
                <w:szCs w:val="21"/>
              </w:rPr>
              <w:t>避免</w:t>
            </w:r>
            <w:r>
              <w:rPr>
                <w:bCs/>
                <w:sz w:val="21"/>
                <w:szCs w:val="21"/>
              </w:rPr>
              <w:t>用枪头吹打细胞。</w:t>
            </w:r>
            <w:r>
              <w:rPr>
                <w:b w:val="0"/>
                <w:sz w:val="21"/>
                <w:szCs w:val="21"/>
              </w:rPr>
              <w:t xml:space="preserve"> </w:t>
            </w:r>
          </w:p>
        </w:tc>
      </w:tr>
    </w:tbl>
    <w:p w14:paraId="3BF3025F" w14:textId="77777777" w:rsidR="009F5D13" w:rsidRDefault="009F5D13">
      <w:pPr>
        <w:spacing w:line="360" w:lineRule="auto"/>
        <w:jc w:val="left"/>
        <w:rPr>
          <w:szCs w:val="21"/>
        </w:rPr>
      </w:pPr>
    </w:p>
    <w:sectPr w:rsidR="009F5D1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D71C" w14:textId="77777777" w:rsidR="00804E42" w:rsidRDefault="00804E42">
      <w:r>
        <w:separator/>
      </w:r>
    </w:p>
  </w:endnote>
  <w:endnote w:type="continuationSeparator" w:id="0">
    <w:p w14:paraId="374ABD87" w14:textId="77777777" w:rsidR="00804E42" w:rsidRDefault="0080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B06C" w14:textId="77777777" w:rsidR="009F5D13" w:rsidRDefault="009F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AA70" w14:textId="77777777" w:rsidR="009F5D13" w:rsidRDefault="00633BE6">
    <w:pPr>
      <w:spacing w:line="360" w:lineRule="auto"/>
      <w:jc w:val="right"/>
      <w:rPr>
        <w:sz w:val="20"/>
        <w:szCs w:val="20"/>
      </w:rPr>
    </w:pPr>
    <w:r>
      <w:rPr>
        <w:rFonts w:hint="eastAsia"/>
        <w:sz w:val="20"/>
        <w:szCs w:val="20"/>
      </w:rPr>
      <w:t>【技术支持】：根据销售条款，如您遇到任何问题，请与我司技术支持人员联系：</w:t>
    </w:r>
    <w:r>
      <w:rPr>
        <w:rFonts w:hint="eastAsia"/>
        <w:sz w:val="20"/>
        <w:szCs w:val="20"/>
      </w:rPr>
      <w:t>Tel:0756-363118</w:t>
    </w:r>
    <w:r>
      <w:rPr>
        <w:sz w:val="20"/>
        <w:szCs w:val="20"/>
      </w:rPr>
      <w:t>6</w:t>
    </w:r>
  </w:p>
  <w:p w14:paraId="7FC764F9" w14:textId="77777777" w:rsidR="009F5D13" w:rsidRDefault="00633BE6">
    <w:pPr>
      <w:pStyle w:val="Footer"/>
      <w:jc w:val="right"/>
      <w:rPr>
        <w:sz w:val="20"/>
        <w:szCs w:val="20"/>
      </w:rPr>
    </w:pPr>
    <w:r>
      <w:rPr>
        <w:noProof/>
        <w:sz w:val="20"/>
        <w:szCs w:val="20"/>
      </w:rPr>
      <mc:AlternateContent>
        <mc:Choice Requires="wps">
          <w:drawing>
            <wp:anchor distT="0" distB="0" distL="114300" distR="114300" simplePos="0" relativeHeight="251665408" behindDoc="0" locked="0" layoutInCell="1" allowOverlap="1" wp14:anchorId="2DFBD010" wp14:editId="3069D439">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482A9" w14:textId="77777777" w:rsidR="009F5D13" w:rsidRDefault="00633BE6">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FBD010"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N7PUUmECAAAKBQAADgAAAAAAAAAAAAAAAAAuAgAAZHJzL2Uyb0RvYy54&#13;&#10;bWxQSwECLQAUAAYACAAAACEAABfl9NkAAAAKAQAADwAAAAAAAAAAAAAAAAC7BAAAZHJzL2Rvd25y&#13;&#10;ZXYueG1sUEsFBgAAAAAEAAQA8wAAAMEFAAAAAA==&#13;&#10;" filled="f" stroked="f" strokeweight=".5pt">
              <v:textbox style="mso-fit-shape-to-text:t" inset="0,0,0,0">
                <w:txbxContent>
                  <w:p w14:paraId="027482A9" w14:textId="77777777" w:rsidR="009F5D13" w:rsidRDefault="00633BE6">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66FF6373" wp14:editId="6E971D5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FB9CA" w14:textId="77777777" w:rsidR="009F5D13" w:rsidRDefault="009F5D13">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6FF6373"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09CFB9CA" w14:textId="77777777" w:rsidR="009F5D13" w:rsidRDefault="009F5D13">
                    <w:pPr>
                      <w:pStyle w:val="Footer"/>
                    </w:pPr>
                  </w:p>
                </w:txbxContent>
              </v:textbox>
              <w10:wrap anchorx="margin"/>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364CDE3B" wp14:editId="3DF6589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2B2A1" w14:textId="77777777" w:rsidR="009F5D13" w:rsidRDefault="009F5D13"/>
                      </w:txbxContent>
                    </wps:txbx>
                    <wps:bodyPr vert="horz" wrap="none" lIns="0" tIns="0" rIns="0" bIns="0" anchor="t" anchorCtr="0">
                      <a:spAutoFit/>
                    </wps:bodyPr>
                  </wps:wsp>
                </a:graphicData>
              </a:graphic>
            </wp:anchor>
          </w:drawing>
        </mc:Choice>
        <mc:Fallback>
          <w:pict>
            <v:shape w14:anchorId="364CDE3B"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" filled="f" stroked="f">
              <v:textbox style="mso-fit-shape-to-text:t" inset="0,0,0,0">
                <w:txbxContent>
                  <w:p w14:paraId="6FE2B2A1" w14:textId="77777777" w:rsidR="009F5D13" w:rsidRDefault="009F5D13"/>
                </w:txbxContent>
              </v:textbox>
              <w10:wrap anchorx="margin"/>
            </v:shape>
          </w:pict>
        </mc:Fallback>
      </mc:AlternateContent>
    </w:r>
    <w:r>
      <w:rPr>
        <w:rFonts w:hint="eastAsia"/>
        <w:sz w:val="20"/>
        <w:szCs w:val="20"/>
      </w:rPr>
      <w:t>珠海恺瑞生物科技有限公司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BB6C" w14:textId="77777777" w:rsidR="009F5D13" w:rsidRDefault="00633BE6">
    <w:pPr>
      <w:pStyle w:val="Footer"/>
      <w:jc w:val="right"/>
    </w:pPr>
    <w:r>
      <w:rPr>
        <w:noProof/>
      </w:rPr>
      <mc:AlternateContent>
        <mc:Choice Requires="wps">
          <w:drawing>
            <wp:anchor distT="0" distB="0" distL="114300" distR="114300" simplePos="0" relativeHeight="251664384" behindDoc="0" locked="0" layoutInCell="1" allowOverlap="1" wp14:anchorId="723B439D" wp14:editId="669DDD7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6DD33" w14:textId="77777777" w:rsidR="009F5D13" w:rsidRDefault="00633BE6">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3B439D"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nS/BRlAgAAEQUAAA4AAAAAAAAAAAAAAAAALgIAAGRycy9lMm9E&#13;&#10;b2MueG1sUEsBAi0AFAAGAAgAAAAhAAAX5fTZAAAACgEAAA8AAAAAAAAAAAAAAAAAvwQAAGRycy9k&#13;&#10;b3ducmV2LnhtbFBLBQYAAAAABAAEAPMAAADFBQAAAAA=&#13;&#10;" filled="f" stroked="f" strokeweight=".5pt">
              <v:textbox style="mso-fit-shape-to-text:t" inset="0,0,0,0">
                <w:txbxContent>
                  <w:p w14:paraId="5146DD33" w14:textId="77777777" w:rsidR="009F5D13" w:rsidRDefault="00633BE6">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58990A5B" w14:textId="77777777" w:rsidR="009F5D13" w:rsidRDefault="00633BE6">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C373" w14:textId="77777777" w:rsidR="00804E42" w:rsidRDefault="00804E42">
      <w:r>
        <w:separator/>
      </w:r>
    </w:p>
  </w:footnote>
  <w:footnote w:type="continuationSeparator" w:id="0">
    <w:p w14:paraId="6FC30622" w14:textId="77777777" w:rsidR="00804E42" w:rsidRDefault="0080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7DA6" w14:textId="77777777" w:rsidR="009F5D13" w:rsidRDefault="009F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64ED" w14:textId="77777777" w:rsidR="009F5D13" w:rsidRDefault="00633BE6">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3360" behindDoc="0" locked="0" layoutInCell="1" allowOverlap="1" wp14:anchorId="135E5D74" wp14:editId="2633D840">
          <wp:simplePos x="0" y="0"/>
          <wp:positionH relativeFrom="column">
            <wp:posOffset>4789170</wp:posOffset>
          </wp:positionH>
          <wp:positionV relativeFrom="paragraph">
            <wp:posOffset>-12065</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4262B023" w14:textId="77777777" w:rsidR="009F5D13" w:rsidRDefault="00633BE6">
    <w:pPr>
      <w:pBdr>
        <w:bottom w:val="single" w:sz="4" w:space="0" w:color="auto"/>
      </w:pBdr>
      <w:tabs>
        <w:tab w:val="left" w:pos="3812"/>
        <w:tab w:val="right" w:pos="9758"/>
      </w:tabs>
      <w:jc w:val="left"/>
      <w:rPr>
        <w:sz w:val="20"/>
        <w:szCs w:val="20"/>
      </w:rPr>
    </w:pPr>
    <w:r>
      <w:rPr>
        <w:rFonts w:hint="eastAsia"/>
        <w:sz w:val="20"/>
        <w:szCs w:val="20"/>
      </w:rPr>
      <w:t xml:space="preserve">ACE </w:t>
    </w:r>
    <w:proofErr w:type="spellStart"/>
    <w:r>
      <w:rPr>
        <w:rFonts w:hint="eastAsia"/>
        <w:sz w:val="20"/>
        <w:szCs w:val="20"/>
      </w:rPr>
      <w:t>SingleCell</w:t>
    </w:r>
    <w:proofErr w:type="spellEnd"/>
    <w:r>
      <w:rPr>
        <w:rFonts w:hint="eastAsia"/>
        <w:sz w:val="20"/>
        <w:szCs w:val="20"/>
      </w:rPr>
      <w:t xml:space="preserve"> SFM</w:t>
    </w:r>
    <w:r>
      <w:rPr>
        <w:rFonts w:hint="eastAsia"/>
        <w:sz w:val="20"/>
        <w:szCs w:val="20"/>
      </w:rPr>
      <w:t>使用说明书（</w:t>
    </w:r>
    <w:r>
      <w:rPr>
        <w:rFonts w:hint="eastAsia"/>
        <w:sz w:val="20"/>
        <w:szCs w:val="20"/>
      </w:rPr>
      <w:t>V1.0</w:t>
    </w:r>
    <w:r>
      <w:rPr>
        <w:sz w:val="20"/>
        <w:szCs w:val="20"/>
      </w:rPr>
      <w:t>.0</w:t>
    </w:r>
    <w:r>
      <w:rPr>
        <w:rFonts w:hint="eastAsia"/>
        <w:sz w:val="20"/>
        <w:szCs w:val="20"/>
      </w:rPr>
      <w:t>版）</w:t>
    </w:r>
  </w:p>
  <w:p w14:paraId="5F0C18F6" w14:textId="77777777" w:rsidR="009F5D13" w:rsidRDefault="009F5D13">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A137" w14:textId="77777777" w:rsidR="009F5D13" w:rsidRDefault="00633BE6">
    <w:pPr>
      <w:tabs>
        <w:tab w:val="left" w:pos="3812"/>
        <w:tab w:val="right" w:pos="9758"/>
      </w:tabs>
      <w:jc w:val="left"/>
    </w:pPr>
    <w:r>
      <w:rPr>
        <w:noProof/>
      </w:rPr>
      <w:drawing>
        <wp:anchor distT="0" distB="0" distL="114300" distR="114300" simplePos="0" relativeHeight="251662336" behindDoc="0" locked="0" layoutInCell="1" allowOverlap="1" wp14:anchorId="2EB2A7C6" wp14:editId="16DB32DF">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5EAA8B74" w14:textId="77777777" w:rsidR="009F5D13" w:rsidRDefault="00633BE6">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F33D4"/>
    <w:multiLevelType w:val="multilevel"/>
    <w:tmpl w:val="381F33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RjMzM4Njc4ZWU5ZGFhYTczZmZkYWM3YzEwMzY4YTUifQ=="/>
    <w:docVar w:name="KSO_WPS_MARK_KEY" w:val="53517619-48db-4de6-a843-71fd0bbf18ae"/>
  </w:docVars>
  <w:rsids>
    <w:rsidRoot w:val="00D412CD"/>
    <w:rsid w:val="F3E5C603"/>
    <w:rsid w:val="FF73C53E"/>
    <w:rsid w:val="FFBF8D7C"/>
    <w:rsid w:val="000037AF"/>
    <w:rsid w:val="00004B44"/>
    <w:rsid w:val="00037575"/>
    <w:rsid w:val="00075397"/>
    <w:rsid w:val="00160E67"/>
    <w:rsid w:val="001A0BE0"/>
    <w:rsid w:val="001F0724"/>
    <w:rsid w:val="002108BA"/>
    <w:rsid w:val="002247E9"/>
    <w:rsid w:val="00294EE7"/>
    <w:rsid w:val="00296950"/>
    <w:rsid w:val="002C4D86"/>
    <w:rsid w:val="003122F2"/>
    <w:rsid w:val="003259B8"/>
    <w:rsid w:val="0032765E"/>
    <w:rsid w:val="00351162"/>
    <w:rsid w:val="00351870"/>
    <w:rsid w:val="00375237"/>
    <w:rsid w:val="003C45C1"/>
    <w:rsid w:val="003D61DA"/>
    <w:rsid w:val="003E1139"/>
    <w:rsid w:val="0043205E"/>
    <w:rsid w:val="004424EE"/>
    <w:rsid w:val="004469A8"/>
    <w:rsid w:val="004805E0"/>
    <w:rsid w:val="00491B79"/>
    <w:rsid w:val="004B354B"/>
    <w:rsid w:val="00507D27"/>
    <w:rsid w:val="00520B20"/>
    <w:rsid w:val="0056121A"/>
    <w:rsid w:val="00633BE6"/>
    <w:rsid w:val="00635446"/>
    <w:rsid w:val="006766A1"/>
    <w:rsid w:val="006A5FE6"/>
    <w:rsid w:val="006B0F15"/>
    <w:rsid w:val="006D19A4"/>
    <w:rsid w:val="006D5159"/>
    <w:rsid w:val="00706CEC"/>
    <w:rsid w:val="00794D8A"/>
    <w:rsid w:val="00796EB5"/>
    <w:rsid w:val="00804E42"/>
    <w:rsid w:val="00825974"/>
    <w:rsid w:val="00867DB0"/>
    <w:rsid w:val="0087241E"/>
    <w:rsid w:val="008802B5"/>
    <w:rsid w:val="00894DCF"/>
    <w:rsid w:val="008B2E4D"/>
    <w:rsid w:val="008F2B75"/>
    <w:rsid w:val="008F4974"/>
    <w:rsid w:val="00990968"/>
    <w:rsid w:val="00994A0B"/>
    <w:rsid w:val="009A192A"/>
    <w:rsid w:val="009D7E11"/>
    <w:rsid w:val="009E74AC"/>
    <w:rsid w:val="009F5D13"/>
    <w:rsid w:val="00A171DF"/>
    <w:rsid w:val="00A40788"/>
    <w:rsid w:val="00A57FAC"/>
    <w:rsid w:val="00A95D7D"/>
    <w:rsid w:val="00AA0D2B"/>
    <w:rsid w:val="00AA4C8A"/>
    <w:rsid w:val="00AA4DA6"/>
    <w:rsid w:val="00AB3057"/>
    <w:rsid w:val="00B14C64"/>
    <w:rsid w:val="00B217EE"/>
    <w:rsid w:val="00B42FC3"/>
    <w:rsid w:val="00B616D6"/>
    <w:rsid w:val="00BA39C2"/>
    <w:rsid w:val="00BA51F7"/>
    <w:rsid w:val="00BD0BA9"/>
    <w:rsid w:val="00C2016A"/>
    <w:rsid w:val="00C20762"/>
    <w:rsid w:val="00C31023"/>
    <w:rsid w:val="00C36DC3"/>
    <w:rsid w:val="00C66122"/>
    <w:rsid w:val="00C717CD"/>
    <w:rsid w:val="00CB33D2"/>
    <w:rsid w:val="00CD35C3"/>
    <w:rsid w:val="00CF6836"/>
    <w:rsid w:val="00D22747"/>
    <w:rsid w:val="00D412CD"/>
    <w:rsid w:val="00D45776"/>
    <w:rsid w:val="00D64D9A"/>
    <w:rsid w:val="00D86746"/>
    <w:rsid w:val="00DA0473"/>
    <w:rsid w:val="00DC1032"/>
    <w:rsid w:val="00DC353D"/>
    <w:rsid w:val="00E666E5"/>
    <w:rsid w:val="00E92B32"/>
    <w:rsid w:val="00EA5596"/>
    <w:rsid w:val="00EB3C0E"/>
    <w:rsid w:val="00EC6D7F"/>
    <w:rsid w:val="00F074BC"/>
    <w:rsid w:val="00F126BD"/>
    <w:rsid w:val="00F72FA6"/>
    <w:rsid w:val="01145609"/>
    <w:rsid w:val="01615115"/>
    <w:rsid w:val="01BF4375"/>
    <w:rsid w:val="01FD42EF"/>
    <w:rsid w:val="04042BAB"/>
    <w:rsid w:val="043A39A4"/>
    <w:rsid w:val="0534627A"/>
    <w:rsid w:val="05786B4E"/>
    <w:rsid w:val="07131EBF"/>
    <w:rsid w:val="082078D1"/>
    <w:rsid w:val="08326395"/>
    <w:rsid w:val="085B5817"/>
    <w:rsid w:val="09F3255D"/>
    <w:rsid w:val="0A6215B9"/>
    <w:rsid w:val="0A826331"/>
    <w:rsid w:val="0AD261E7"/>
    <w:rsid w:val="0DF45EE1"/>
    <w:rsid w:val="12AF5192"/>
    <w:rsid w:val="14DA665C"/>
    <w:rsid w:val="17A766F9"/>
    <w:rsid w:val="1BB62C71"/>
    <w:rsid w:val="1CD80BE9"/>
    <w:rsid w:val="1E670B63"/>
    <w:rsid w:val="1E8829ED"/>
    <w:rsid w:val="1EC36959"/>
    <w:rsid w:val="1EE64CE4"/>
    <w:rsid w:val="1F5F4158"/>
    <w:rsid w:val="20484B45"/>
    <w:rsid w:val="20F94D0B"/>
    <w:rsid w:val="229F6614"/>
    <w:rsid w:val="23F16ADD"/>
    <w:rsid w:val="25370F70"/>
    <w:rsid w:val="25FE0A82"/>
    <w:rsid w:val="26DC0640"/>
    <w:rsid w:val="29F57D92"/>
    <w:rsid w:val="2BC63F60"/>
    <w:rsid w:val="2C995E1E"/>
    <w:rsid w:val="2EE13AA5"/>
    <w:rsid w:val="31427B71"/>
    <w:rsid w:val="31566EC3"/>
    <w:rsid w:val="32BD6A1E"/>
    <w:rsid w:val="36051A15"/>
    <w:rsid w:val="3667073C"/>
    <w:rsid w:val="369065F6"/>
    <w:rsid w:val="36EA7C6A"/>
    <w:rsid w:val="3B4F1F10"/>
    <w:rsid w:val="3BE61375"/>
    <w:rsid w:val="3BF22EF6"/>
    <w:rsid w:val="3C2D6747"/>
    <w:rsid w:val="469F5EAA"/>
    <w:rsid w:val="4A2F038B"/>
    <w:rsid w:val="4B0C5FD6"/>
    <w:rsid w:val="4C463EE4"/>
    <w:rsid w:val="4D446243"/>
    <w:rsid w:val="52206E0E"/>
    <w:rsid w:val="52B753C1"/>
    <w:rsid w:val="55E45D01"/>
    <w:rsid w:val="56AD7D44"/>
    <w:rsid w:val="587A6C75"/>
    <w:rsid w:val="58CD7563"/>
    <w:rsid w:val="5F3E246C"/>
    <w:rsid w:val="602A337D"/>
    <w:rsid w:val="61997C21"/>
    <w:rsid w:val="61A36339"/>
    <w:rsid w:val="64E659CC"/>
    <w:rsid w:val="65246F9E"/>
    <w:rsid w:val="669B618E"/>
    <w:rsid w:val="66FFE0A8"/>
    <w:rsid w:val="679E183D"/>
    <w:rsid w:val="691E20F1"/>
    <w:rsid w:val="6F6F31D8"/>
    <w:rsid w:val="700C1D11"/>
    <w:rsid w:val="70E26BCC"/>
    <w:rsid w:val="72874010"/>
    <w:rsid w:val="75956863"/>
    <w:rsid w:val="767E0976"/>
    <w:rsid w:val="78FC2975"/>
    <w:rsid w:val="7B9A1258"/>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20AE7C"/>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2025-03-14T07:51:00Z</dcterms:created>
  <dcterms:modified xsi:type="dcterms:W3CDTF">2025-03-14T21:00:00Z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FF17700AA67541EFBA179E58E70CAC43_13</vt:lpwstr>
  </property>
  <property fmtid="{D5CDD505-2E9C-101B-9397-08002B2CF9AE}" pid="4" name="KSOTemplateDocerSaveRecord">
    <vt:lpwstr>eyJoZGlkIjoiNmY4MTViMGViNjY1ZDM4MzQxZjgwMDA5NjBmNmI3NjQiLCJ1c2VySWQiOiIxNDM0MTg3MzgzIn0=</vt:lpwstr>
  </property>
</Properties>
</file>